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val="en-US" w:eastAsia="zh-CN"/>
        </w:rPr>
      </w:pPr>
      <w:bookmarkStart w:id="0" w:name="_GoBack"/>
      <w:bookmarkEnd w:id="0"/>
      <w:r>
        <w:rPr>
          <w:rFonts w:hint="eastAsia" w:ascii="黑体" w:hAnsi="黑体" w:eastAsia="黑体" w:cs="黑体"/>
          <w:sz w:val="36"/>
          <w:szCs w:val="36"/>
          <w:lang w:val="en-US" w:eastAsia="zh-CN"/>
        </w:rPr>
        <w:t>长江证券股份有限公司</w:t>
      </w: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深圳质押式报价回购产品资料概览</w:t>
      </w:r>
    </w:p>
    <w:tbl>
      <w:tblPr>
        <w:tblStyle w:val="6"/>
        <w:tblpPr w:leftFromText="180" w:rightFromText="180" w:vertAnchor="text" w:horzAnchor="page" w:tblpX="1441" w:tblpY="629"/>
        <w:tblOverlap w:val="never"/>
        <w:tblW w:w="9760" w:type="dxa"/>
        <w:tblInd w:w="0" w:type="dxa"/>
        <w:tblLayout w:type="fixed"/>
        <w:tblCellMar>
          <w:top w:w="0" w:type="dxa"/>
          <w:left w:w="108" w:type="dxa"/>
          <w:bottom w:w="0" w:type="dxa"/>
          <w:right w:w="108" w:type="dxa"/>
        </w:tblCellMar>
      </w:tblPr>
      <w:tblGrid>
        <w:gridCol w:w="4880"/>
        <w:gridCol w:w="4880"/>
      </w:tblGrid>
      <w:tr>
        <w:tblPrEx>
          <w:tblCellMar>
            <w:top w:w="0" w:type="dxa"/>
            <w:left w:w="108" w:type="dxa"/>
            <w:bottom w:w="0" w:type="dxa"/>
            <w:right w:w="108" w:type="dxa"/>
          </w:tblCellMar>
        </w:tblPrEx>
        <w:trPr>
          <w:trHeight w:val="1436" w:hRule="atLeast"/>
        </w:trPr>
        <w:tc>
          <w:tcPr>
            <w:tcW w:w="9760"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eastAsia="楷体" w:cs="Times New Roman"/>
                <w:b/>
                <w:bCs/>
                <w:color w:val="000000"/>
                <w:kern w:val="0"/>
                <w:sz w:val="24"/>
                <w:szCs w:val="24"/>
              </w:rPr>
            </w:pPr>
            <w:r>
              <w:rPr>
                <w:rFonts w:ascii="Times New Roman" w:hAnsi="Times New Roman" w:eastAsia="楷体" w:cs="Times New Roman"/>
                <w:b/>
                <w:bCs/>
                <w:color w:val="000000"/>
                <w:kern w:val="0"/>
                <w:sz w:val="24"/>
                <w:szCs w:val="24"/>
              </w:rPr>
              <w:t>本产品与存款不同。</w:t>
            </w:r>
            <w:r>
              <w:rPr>
                <w:rFonts w:ascii="Times New Roman" w:hAnsi="Times New Roman" w:eastAsia="楷体" w:cs="Times New Roman"/>
                <w:b/>
                <w:bCs/>
                <w:color w:val="000000"/>
                <w:kern w:val="0"/>
                <w:sz w:val="24"/>
                <w:szCs w:val="24"/>
              </w:rPr>
              <w:br w:type="textWrapping"/>
            </w:r>
            <w:r>
              <w:rPr>
                <w:rFonts w:ascii="Times New Roman" w:hAnsi="Times New Roman" w:eastAsia="楷体" w:cs="Times New Roman"/>
                <w:b/>
                <w:bCs/>
                <w:color w:val="000000"/>
                <w:kern w:val="0"/>
                <w:sz w:val="24"/>
                <w:szCs w:val="24"/>
              </w:rPr>
              <w:t>证券公司虽然提供质押担保，但投资本产品仍存在风险，请慎重决定。</w:t>
            </w:r>
            <w:r>
              <w:rPr>
                <w:rFonts w:ascii="Times New Roman" w:hAnsi="Times New Roman" w:eastAsia="楷体" w:cs="Times New Roman"/>
                <w:b/>
                <w:bCs/>
                <w:color w:val="000000"/>
                <w:kern w:val="0"/>
                <w:sz w:val="24"/>
                <w:szCs w:val="24"/>
              </w:rPr>
              <w:br w:type="textWrapping"/>
            </w:r>
            <w:r>
              <w:rPr>
                <w:rFonts w:ascii="Times New Roman" w:hAnsi="Times New Roman" w:eastAsia="楷体" w:cs="Times New Roman"/>
                <w:b/>
                <w:bCs/>
                <w:color w:val="000000"/>
                <w:kern w:val="0"/>
                <w:sz w:val="24"/>
                <w:szCs w:val="24"/>
              </w:rPr>
              <w:t>本概览是产品销售文件的一部分。</w:t>
            </w:r>
            <w:r>
              <w:rPr>
                <w:rFonts w:ascii="Times New Roman" w:hAnsi="Times New Roman" w:eastAsia="楷体" w:cs="Times New Roman"/>
                <w:b/>
                <w:bCs/>
                <w:color w:val="000000"/>
                <w:kern w:val="0"/>
                <w:sz w:val="24"/>
                <w:szCs w:val="24"/>
              </w:rPr>
              <w:br w:type="textWrapping"/>
            </w:r>
            <w:r>
              <w:rPr>
                <w:rFonts w:ascii="Times New Roman" w:hAnsi="Times New Roman" w:eastAsia="楷体" w:cs="Times New Roman"/>
                <w:b/>
                <w:bCs/>
                <w:color w:val="000000"/>
                <w:kern w:val="0"/>
                <w:sz w:val="24"/>
                <w:szCs w:val="24"/>
              </w:rPr>
              <w:t>请勿单凭本概览做出投资决定。</w:t>
            </w:r>
          </w:p>
        </w:tc>
      </w:tr>
      <w:tr>
        <w:tblPrEx>
          <w:tblCellMar>
            <w:top w:w="0" w:type="dxa"/>
            <w:left w:w="108" w:type="dxa"/>
            <w:bottom w:w="0" w:type="dxa"/>
            <w:right w:w="108" w:type="dxa"/>
          </w:tblCellMar>
        </w:tblPrEx>
        <w:trPr>
          <w:trHeight w:val="567" w:hRule="atLeast"/>
        </w:trPr>
        <w:tc>
          <w:tcPr>
            <w:tcW w:w="9760"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Times New Roman" w:hAnsi="Times New Roman" w:eastAsia="楷体" w:cs="Times New Roman"/>
                <w:b/>
                <w:bCs/>
                <w:color w:val="000000"/>
                <w:kern w:val="0"/>
                <w:sz w:val="24"/>
                <w:szCs w:val="24"/>
              </w:rPr>
            </w:pPr>
            <w:r>
              <w:rPr>
                <w:rFonts w:ascii="Times New Roman" w:hAnsi="Times New Roman" w:eastAsia="楷体" w:cs="Times New Roman"/>
                <w:b/>
                <w:bCs/>
                <w:color w:val="000000"/>
                <w:kern w:val="0"/>
                <w:sz w:val="32"/>
                <w:szCs w:val="32"/>
              </w:rPr>
              <w:t>信息便览</w:t>
            </w:r>
          </w:p>
        </w:tc>
      </w:tr>
      <w:tr>
        <w:tblPrEx>
          <w:tblCellMar>
            <w:top w:w="0" w:type="dxa"/>
            <w:left w:w="108" w:type="dxa"/>
            <w:bottom w:w="0" w:type="dxa"/>
            <w:right w:w="108" w:type="dxa"/>
          </w:tblCellMar>
        </w:tblPrEx>
        <w:trPr>
          <w:trHeight w:val="4288" w:hRule="atLeast"/>
        </w:trPr>
        <w:tc>
          <w:tcPr>
            <w:tcW w:w="4880" w:type="dxa"/>
            <w:tcBorders>
              <w:top w:val="single" w:color="auto" w:sz="4" w:space="0"/>
              <w:left w:val="single" w:color="auto" w:sz="4" w:space="0"/>
              <w:bottom w:val="single" w:color="auto" w:sz="4" w:space="0"/>
              <w:right w:val="single" w:color="000000" w:sz="4" w:space="0"/>
            </w:tcBorders>
            <w:noWrap w:val="0"/>
            <w:vAlign w:val="center"/>
          </w:tcPr>
          <w:p>
            <w:pPr>
              <w:widowControl/>
              <w:jc w:val="both"/>
              <w:rPr>
                <w:rFonts w:hint="eastAsia" w:ascii="宋体" w:hAnsi="宋体" w:eastAsia="宋体" w:cs="宋体"/>
                <w:color w:val="000000"/>
                <w:kern w:val="0"/>
                <w:sz w:val="24"/>
                <w:szCs w:val="24"/>
                <w:u w:val="single"/>
              </w:rPr>
            </w:pPr>
            <w:r>
              <w:rPr>
                <w:rFonts w:hint="eastAsia" w:ascii="宋体" w:hAnsi="宋体" w:eastAsia="宋体" w:cs="宋体"/>
                <w:b/>
                <w:color w:val="000000"/>
                <w:kern w:val="0"/>
                <w:sz w:val="24"/>
                <w:szCs w:val="24"/>
                <w:u w:val="single"/>
              </w:rPr>
              <w:t>客户门槛：</w:t>
            </w:r>
            <w:r>
              <w:rPr>
                <w:rFonts w:hint="eastAsia" w:ascii="宋体" w:hAnsi="宋体" w:eastAsia="宋体" w:cs="宋体"/>
                <w:b w:val="0"/>
                <w:bCs/>
                <w:color w:val="000000"/>
                <w:kern w:val="0"/>
                <w:sz w:val="24"/>
                <w:szCs w:val="24"/>
                <w:u w:val="single"/>
                <w:lang w:val="en-US" w:eastAsia="zh-CN"/>
              </w:rPr>
              <w:t>客户</w:t>
            </w:r>
            <w:r>
              <w:rPr>
                <w:rFonts w:hint="eastAsia" w:ascii="宋体" w:hAnsi="宋体" w:eastAsia="宋体" w:cs="宋体"/>
                <w:b w:val="0"/>
                <w:bCs/>
                <w:color w:val="000000"/>
                <w:kern w:val="0"/>
                <w:sz w:val="24"/>
                <w:szCs w:val="24"/>
                <w:u w:val="single"/>
              </w:rPr>
              <w:t>在</w:t>
            </w:r>
            <w:r>
              <w:rPr>
                <w:rFonts w:hint="eastAsia" w:ascii="宋体" w:hAnsi="宋体" w:eastAsia="宋体" w:cs="宋体"/>
                <w:color w:val="000000"/>
                <w:kern w:val="0"/>
                <w:sz w:val="24"/>
                <w:szCs w:val="24"/>
                <w:u w:val="single"/>
                <w:lang w:val="en-US" w:eastAsia="zh-CN"/>
              </w:rPr>
              <w:t>长江</w:t>
            </w:r>
            <w:r>
              <w:rPr>
                <w:rFonts w:hint="eastAsia" w:ascii="宋体" w:hAnsi="宋体" w:eastAsia="宋体" w:cs="宋体"/>
                <w:color w:val="000000"/>
                <w:kern w:val="0"/>
                <w:sz w:val="24"/>
                <w:szCs w:val="24"/>
                <w:u w:val="single"/>
              </w:rPr>
              <w:t>证券开立</w:t>
            </w:r>
            <w:r>
              <w:rPr>
                <w:rFonts w:hint="eastAsia" w:ascii="宋体" w:hAnsi="宋体" w:eastAsia="宋体" w:cs="宋体"/>
                <w:color w:val="000000"/>
                <w:kern w:val="0"/>
                <w:sz w:val="24"/>
                <w:szCs w:val="24"/>
                <w:u w:val="single"/>
                <w:lang w:val="en-US" w:eastAsia="zh-CN"/>
              </w:rPr>
              <w:t>合格、</w:t>
            </w:r>
            <w:r>
              <w:rPr>
                <w:rFonts w:hint="eastAsia" w:ascii="宋体" w:hAnsi="宋体" w:eastAsia="宋体" w:cs="宋体"/>
                <w:color w:val="000000"/>
                <w:kern w:val="0"/>
                <w:sz w:val="24"/>
                <w:szCs w:val="24"/>
                <w:u w:val="single"/>
              </w:rPr>
              <w:t>实名账户</w:t>
            </w:r>
            <w:r>
              <w:rPr>
                <w:rFonts w:hint="eastAsia" w:ascii="宋体" w:hAnsi="宋体" w:eastAsia="宋体" w:cs="宋体"/>
                <w:color w:val="000000"/>
                <w:kern w:val="0"/>
                <w:sz w:val="24"/>
                <w:szCs w:val="24"/>
                <w:u w:val="single"/>
                <w:lang w:eastAsia="zh-CN"/>
              </w:rPr>
              <w:t>；</w:t>
            </w:r>
            <w:r>
              <w:rPr>
                <w:rFonts w:hint="eastAsia" w:ascii="宋体" w:hAnsi="宋体" w:eastAsia="宋体" w:cs="宋体"/>
                <w:color w:val="000000"/>
                <w:kern w:val="0"/>
                <w:sz w:val="24"/>
                <w:szCs w:val="24"/>
                <w:u w:val="single"/>
              </w:rPr>
              <w:t>具有</w:t>
            </w:r>
            <w:r>
              <w:rPr>
                <w:rFonts w:hint="eastAsia" w:ascii="宋体" w:hAnsi="宋体" w:eastAsia="宋体" w:cs="宋体"/>
                <w:color w:val="000000"/>
                <w:kern w:val="0"/>
                <w:sz w:val="24"/>
                <w:szCs w:val="24"/>
                <w:u w:val="single"/>
                <w:lang w:val="en-US" w:eastAsia="zh-CN"/>
              </w:rPr>
              <w:t>状态正常的</w:t>
            </w:r>
            <w:r>
              <w:rPr>
                <w:rFonts w:hint="eastAsia" w:ascii="宋体" w:hAnsi="宋体" w:eastAsia="宋体" w:cs="宋体"/>
                <w:color w:val="000000"/>
                <w:kern w:val="0"/>
                <w:sz w:val="24"/>
                <w:szCs w:val="24"/>
                <w:u w:val="single"/>
              </w:rPr>
              <w:t>深圳 A 股账户或深圳场内基金账户</w:t>
            </w:r>
            <w:r>
              <w:rPr>
                <w:rFonts w:hint="eastAsia" w:ascii="宋体" w:hAnsi="宋体" w:eastAsia="宋体" w:cs="宋体"/>
                <w:color w:val="000000"/>
                <w:kern w:val="0"/>
                <w:sz w:val="24"/>
                <w:szCs w:val="24"/>
                <w:u w:val="single"/>
                <w:lang w:eastAsia="zh-CN"/>
              </w:rPr>
              <w:t>；</w:t>
            </w:r>
            <w:r>
              <w:rPr>
                <w:rFonts w:hint="eastAsia" w:ascii="宋体" w:hAnsi="宋体" w:eastAsia="宋体" w:cs="宋体"/>
                <w:color w:val="000000"/>
                <w:kern w:val="0"/>
                <w:sz w:val="24"/>
                <w:szCs w:val="24"/>
                <w:u w:val="single"/>
                <w:lang w:val="en-US" w:eastAsia="zh-CN"/>
              </w:rPr>
              <w:t>风险承受能力在C1保守型</w:t>
            </w:r>
            <w:r>
              <w:rPr>
                <w:rFonts w:hint="eastAsia" w:ascii="宋体" w:hAnsi="宋体" w:cs="宋体"/>
                <w:color w:val="000000"/>
                <w:kern w:val="0"/>
                <w:sz w:val="24"/>
                <w:szCs w:val="24"/>
                <w:u w:val="single"/>
                <w:lang w:val="en-US" w:eastAsia="zh-CN"/>
              </w:rPr>
              <w:t>及</w:t>
            </w:r>
            <w:r>
              <w:rPr>
                <w:rFonts w:hint="eastAsia" w:ascii="宋体" w:hAnsi="宋体" w:eastAsia="宋体" w:cs="宋体"/>
                <w:color w:val="000000"/>
                <w:kern w:val="0"/>
                <w:sz w:val="24"/>
                <w:szCs w:val="24"/>
                <w:u w:val="single"/>
                <w:lang w:val="en-US" w:eastAsia="zh-CN"/>
              </w:rPr>
              <w:t>以上且测评结果在有效期内；无严重不良诚信记录；符合相关规定的其他要求</w:t>
            </w:r>
            <w:r>
              <w:rPr>
                <w:rFonts w:hint="eastAsia" w:ascii="宋体" w:hAnsi="宋体" w:eastAsia="宋体" w:cs="宋体"/>
                <w:color w:val="000000"/>
                <w:kern w:val="0"/>
                <w:sz w:val="24"/>
                <w:szCs w:val="24"/>
                <w:u w:val="single"/>
              </w:rPr>
              <w:t>。</w:t>
            </w:r>
          </w:p>
          <w:p>
            <w:pPr>
              <w:widowControl/>
              <w:jc w:val="both"/>
              <w:rPr>
                <w:rFonts w:hint="eastAsia" w:ascii="宋体" w:hAnsi="宋体" w:eastAsia="宋体" w:cs="宋体"/>
                <w:color w:val="000000"/>
                <w:kern w:val="0"/>
                <w:sz w:val="24"/>
                <w:szCs w:val="24"/>
                <w:u w:val="single"/>
                <w:lang w:eastAsia="zh-CN"/>
              </w:rPr>
            </w:pPr>
            <w:r>
              <w:rPr>
                <w:rFonts w:hint="eastAsia" w:ascii="宋体" w:hAnsi="宋体" w:eastAsia="宋体" w:cs="宋体"/>
                <w:b/>
                <w:color w:val="000000"/>
                <w:kern w:val="0"/>
                <w:sz w:val="24"/>
                <w:szCs w:val="24"/>
                <w:u w:val="single"/>
              </w:rPr>
              <w:t>交易品种：</w:t>
            </w:r>
            <w:r>
              <w:rPr>
                <w:rFonts w:hint="eastAsia" w:ascii="宋体" w:hAnsi="宋体" w:eastAsia="宋体" w:cs="宋体"/>
                <w:color w:val="000000"/>
                <w:kern w:val="0"/>
                <w:sz w:val="24"/>
                <w:szCs w:val="24"/>
                <w:u w:val="single"/>
              </w:rPr>
              <w:t>1-365 天以内期限品种（低风险） 具体期限品种以实际发售为准</w:t>
            </w:r>
            <w:r>
              <w:rPr>
                <w:rFonts w:hint="eastAsia" w:ascii="宋体" w:hAnsi="宋体" w:eastAsia="宋体" w:cs="宋体"/>
                <w:color w:val="000000"/>
                <w:kern w:val="0"/>
                <w:sz w:val="24"/>
                <w:szCs w:val="24"/>
                <w:u w:val="single"/>
                <w:lang w:eastAsia="zh-CN"/>
              </w:rPr>
              <w:t>。</w:t>
            </w:r>
          </w:p>
          <w:p>
            <w:pPr>
              <w:widowControl/>
              <w:jc w:val="both"/>
              <w:rPr>
                <w:rFonts w:hint="eastAsia" w:ascii="宋体" w:hAnsi="宋体" w:eastAsia="宋体" w:cs="宋体"/>
                <w:color w:val="000000"/>
                <w:kern w:val="0"/>
                <w:sz w:val="24"/>
                <w:szCs w:val="24"/>
                <w:u w:val="single"/>
              </w:rPr>
            </w:pPr>
            <w:r>
              <w:rPr>
                <w:rFonts w:hint="eastAsia" w:ascii="宋体" w:hAnsi="宋体" w:eastAsia="宋体" w:cs="宋体"/>
                <w:b/>
                <w:color w:val="000000"/>
                <w:kern w:val="0"/>
                <w:sz w:val="24"/>
                <w:szCs w:val="24"/>
                <w:u w:val="single"/>
              </w:rPr>
              <w:t>可否中途参与交易品种：</w:t>
            </w:r>
            <w:r>
              <w:rPr>
                <w:rFonts w:hint="eastAsia" w:ascii="宋体" w:hAnsi="宋体" w:eastAsia="宋体" w:cs="宋体"/>
                <w:color w:val="000000"/>
                <w:kern w:val="0"/>
                <w:sz w:val="24"/>
                <w:szCs w:val="24"/>
                <w:u w:val="single"/>
                <w:lang w:val="en-US" w:eastAsia="zh-CN"/>
              </w:rPr>
              <w:t>否</w:t>
            </w:r>
            <w:r>
              <w:rPr>
                <w:rFonts w:hint="eastAsia" w:ascii="宋体" w:hAnsi="宋体" w:eastAsia="宋体" w:cs="宋体"/>
                <w:color w:val="000000"/>
                <w:kern w:val="0"/>
                <w:sz w:val="24"/>
                <w:szCs w:val="24"/>
                <w:u w:val="single"/>
              </w:rPr>
              <w:t>。</w:t>
            </w:r>
          </w:p>
          <w:p>
            <w:pPr>
              <w:widowControl/>
              <w:jc w:val="both"/>
              <w:rPr>
                <w:rFonts w:hint="eastAsia" w:ascii="宋体" w:hAnsi="宋体" w:eastAsia="宋体" w:cs="宋体"/>
                <w:color w:val="000000"/>
                <w:kern w:val="0"/>
                <w:sz w:val="24"/>
                <w:szCs w:val="24"/>
                <w:u w:val="single"/>
              </w:rPr>
            </w:pPr>
            <w:r>
              <w:rPr>
                <w:rFonts w:hint="eastAsia" w:ascii="宋体" w:hAnsi="宋体" w:eastAsia="宋体" w:cs="宋体"/>
                <w:b/>
                <w:color w:val="000000"/>
                <w:kern w:val="0"/>
                <w:sz w:val="24"/>
                <w:szCs w:val="24"/>
                <w:u w:val="single"/>
              </w:rPr>
              <w:t>客户可否提前购回：</w:t>
            </w:r>
            <w:r>
              <w:rPr>
                <w:rFonts w:hint="eastAsia" w:ascii="宋体" w:hAnsi="宋体" w:eastAsia="宋体" w:cs="宋体"/>
                <w:color w:val="000000"/>
                <w:kern w:val="0"/>
                <w:sz w:val="24"/>
                <w:szCs w:val="24"/>
                <w:u w:val="single"/>
              </w:rPr>
              <w:t>对于允许提前购回的品种，在规定时间内可申请提前购回。</w:t>
            </w:r>
          </w:p>
          <w:p>
            <w:pPr>
              <w:widowControl/>
              <w:jc w:val="both"/>
              <w:rPr>
                <w:rFonts w:hint="eastAsia" w:ascii="宋体" w:hAnsi="宋体" w:eastAsia="宋体" w:cs="宋体"/>
                <w:b/>
                <w:bCs/>
                <w:color w:val="000000"/>
                <w:kern w:val="0"/>
                <w:sz w:val="32"/>
                <w:szCs w:val="32"/>
              </w:rPr>
            </w:pPr>
            <w:r>
              <w:rPr>
                <w:rFonts w:hint="eastAsia" w:ascii="宋体" w:hAnsi="宋体" w:eastAsia="宋体" w:cs="宋体"/>
                <w:b/>
                <w:color w:val="000000"/>
                <w:kern w:val="0"/>
                <w:sz w:val="24"/>
                <w:szCs w:val="24"/>
                <w:u w:val="single"/>
              </w:rPr>
              <w:t>到期可否自动续做：</w:t>
            </w:r>
            <w:r>
              <w:rPr>
                <w:rFonts w:hint="eastAsia" w:ascii="宋体" w:hAnsi="宋体" w:eastAsia="宋体" w:cs="宋体"/>
                <w:color w:val="000000"/>
                <w:kern w:val="0"/>
                <w:sz w:val="24"/>
                <w:szCs w:val="24"/>
                <w:u w:val="single"/>
              </w:rPr>
              <w:t>对于允许续做的品种，在规定时间内可开启或关闭自动续做。</w:t>
            </w:r>
          </w:p>
        </w:tc>
        <w:tc>
          <w:tcPr>
            <w:tcW w:w="4880" w:type="dxa"/>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eastAsia" w:ascii="宋体" w:hAnsi="宋体" w:eastAsia="宋体" w:cs="宋体"/>
                <w:color w:val="000000"/>
                <w:kern w:val="0"/>
                <w:sz w:val="24"/>
                <w:szCs w:val="24"/>
                <w:u w:val="single"/>
              </w:rPr>
            </w:pPr>
            <w:r>
              <w:rPr>
                <w:rFonts w:hint="eastAsia" w:ascii="宋体" w:hAnsi="宋体" w:eastAsia="宋体" w:cs="宋体"/>
                <w:b/>
                <w:color w:val="000000"/>
                <w:kern w:val="0"/>
                <w:sz w:val="24"/>
                <w:szCs w:val="24"/>
                <w:u w:val="single"/>
              </w:rPr>
              <w:t>交易时间：</w:t>
            </w:r>
            <w:r>
              <w:rPr>
                <w:rFonts w:hint="eastAsia" w:ascii="宋体" w:hAnsi="宋体" w:eastAsia="宋体" w:cs="宋体"/>
                <w:color w:val="000000"/>
                <w:kern w:val="0"/>
                <w:sz w:val="24"/>
                <w:szCs w:val="24"/>
                <w:u w:val="single"/>
              </w:rPr>
              <w:t>每</w:t>
            </w:r>
            <w:r>
              <w:rPr>
                <w:rFonts w:hint="eastAsia" w:ascii="宋体" w:hAnsi="宋体" w:cs="宋体"/>
                <w:color w:val="000000"/>
                <w:kern w:val="0"/>
                <w:sz w:val="24"/>
                <w:szCs w:val="24"/>
                <w:u w:val="single"/>
                <w:lang w:val="en-US" w:eastAsia="zh-CN"/>
              </w:rPr>
              <w:t>个</w:t>
            </w:r>
            <w:r>
              <w:rPr>
                <w:rFonts w:hint="eastAsia" w:ascii="宋体" w:hAnsi="宋体" w:eastAsia="宋体" w:cs="宋体"/>
                <w:color w:val="000000"/>
                <w:kern w:val="0"/>
                <w:sz w:val="24"/>
                <w:szCs w:val="24"/>
                <w:u w:val="single"/>
              </w:rPr>
              <w:t>交易日9:15-11:30，13:00-15:30。</w:t>
            </w:r>
          </w:p>
          <w:p>
            <w:pPr>
              <w:widowControl/>
              <w:jc w:val="both"/>
              <w:rPr>
                <w:rFonts w:hint="eastAsia" w:ascii="宋体" w:hAnsi="宋体" w:eastAsia="宋体" w:cs="宋体"/>
                <w:color w:val="000000"/>
                <w:kern w:val="0"/>
                <w:sz w:val="24"/>
                <w:szCs w:val="24"/>
                <w:u w:val="single"/>
                <w:lang w:val="en-US" w:eastAsia="zh-CN"/>
              </w:rPr>
            </w:pPr>
            <w:r>
              <w:rPr>
                <w:rFonts w:hint="eastAsia" w:ascii="宋体" w:hAnsi="宋体" w:eastAsia="宋体" w:cs="宋体"/>
                <w:b/>
                <w:color w:val="000000"/>
                <w:kern w:val="0"/>
                <w:sz w:val="24"/>
                <w:szCs w:val="24"/>
                <w:u w:val="single"/>
              </w:rPr>
              <w:t>最低参与金额：</w:t>
            </w:r>
            <w:r>
              <w:rPr>
                <w:rFonts w:hint="eastAsia" w:ascii="宋体" w:hAnsi="宋体" w:eastAsia="宋体" w:cs="宋体"/>
                <w:color w:val="000000"/>
                <w:kern w:val="0"/>
                <w:sz w:val="24"/>
                <w:szCs w:val="24"/>
                <w:u w:val="single"/>
                <w:lang w:val="en-US" w:eastAsia="zh-CN"/>
              </w:rPr>
              <w:t>1000元</w:t>
            </w:r>
            <w:r>
              <w:rPr>
                <w:rFonts w:hint="eastAsia" w:ascii="宋体" w:hAnsi="宋体" w:cs="宋体"/>
                <w:color w:val="000000"/>
                <w:kern w:val="0"/>
                <w:sz w:val="24"/>
                <w:szCs w:val="24"/>
                <w:u w:val="single"/>
                <w:lang w:val="en-US" w:eastAsia="zh-CN"/>
              </w:rPr>
              <w:t>。</w:t>
            </w:r>
          </w:p>
          <w:p>
            <w:pPr>
              <w:widowControl/>
              <w:jc w:val="both"/>
              <w:rPr>
                <w:rFonts w:hint="eastAsia" w:ascii="宋体" w:hAnsi="宋体" w:eastAsia="宋体" w:cs="宋体"/>
                <w:b w:val="0"/>
                <w:bCs/>
                <w:color w:val="000000"/>
                <w:kern w:val="0"/>
                <w:sz w:val="24"/>
                <w:szCs w:val="24"/>
                <w:u w:val="single"/>
              </w:rPr>
            </w:pPr>
            <w:r>
              <w:rPr>
                <w:rFonts w:hint="eastAsia" w:ascii="宋体" w:hAnsi="宋体" w:eastAsia="宋体" w:cs="宋体"/>
                <w:b/>
                <w:color w:val="000000"/>
                <w:kern w:val="0"/>
                <w:sz w:val="24"/>
                <w:szCs w:val="24"/>
                <w:u w:val="single"/>
              </w:rPr>
              <w:t>客户可否撤销委托：</w:t>
            </w:r>
            <w:r>
              <w:rPr>
                <w:rFonts w:hint="eastAsia" w:ascii="宋体" w:hAnsi="宋体" w:eastAsia="宋体" w:cs="宋体"/>
                <w:b w:val="0"/>
                <w:bCs/>
                <w:color w:val="000000"/>
                <w:kern w:val="0"/>
                <w:sz w:val="24"/>
                <w:szCs w:val="24"/>
                <w:u w:val="single"/>
                <w:lang w:val="en-US" w:eastAsia="zh-CN"/>
              </w:rPr>
              <w:t>已申报成功的委托不得撤销</w:t>
            </w:r>
            <w:r>
              <w:rPr>
                <w:rFonts w:hint="eastAsia" w:ascii="宋体" w:hAnsi="宋体" w:eastAsia="宋体" w:cs="宋体"/>
                <w:b w:val="0"/>
                <w:bCs/>
                <w:color w:val="000000"/>
                <w:kern w:val="0"/>
                <w:sz w:val="24"/>
                <w:szCs w:val="24"/>
                <w:u w:val="single"/>
              </w:rPr>
              <w:t>。</w:t>
            </w:r>
          </w:p>
          <w:p>
            <w:pPr>
              <w:widowControl/>
              <w:jc w:val="both"/>
              <w:rPr>
                <w:rFonts w:hint="eastAsia" w:ascii="宋体" w:hAnsi="宋体" w:eastAsia="宋体" w:cs="宋体"/>
                <w:color w:val="000000"/>
                <w:kern w:val="0"/>
                <w:sz w:val="24"/>
                <w:szCs w:val="24"/>
                <w:highlight w:val="none"/>
                <w:u w:val="single"/>
              </w:rPr>
            </w:pPr>
            <w:r>
              <w:rPr>
                <w:rFonts w:hint="eastAsia" w:ascii="宋体" w:hAnsi="宋体" w:eastAsia="宋体" w:cs="宋体"/>
                <w:b/>
                <w:color w:val="000000"/>
                <w:kern w:val="0"/>
                <w:sz w:val="24"/>
                <w:szCs w:val="24"/>
                <w:u w:val="single"/>
              </w:rPr>
              <w:t>资金的可用、可取时间：</w:t>
            </w:r>
            <w:r>
              <w:rPr>
                <w:rFonts w:hint="eastAsia" w:ascii="宋体" w:hAnsi="宋体" w:eastAsia="宋体" w:cs="宋体"/>
                <w:color w:val="000000"/>
                <w:kern w:val="0"/>
                <w:sz w:val="24"/>
                <w:szCs w:val="24"/>
                <w:highlight w:val="none"/>
                <w:u w:val="single"/>
              </w:rPr>
              <w:t>回购到期日</w:t>
            </w:r>
            <w:r>
              <w:rPr>
                <w:rFonts w:hint="eastAsia" w:ascii="宋体" w:hAnsi="宋体" w:cs="宋体"/>
                <w:color w:val="000000"/>
                <w:kern w:val="0"/>
                <w:sz w:val="24"/>
                <w:szCs w:val="24"/>
                <w:highlight w:val="none"/>
                <w:u w:val="single"/>
                <w:lang w:eastAsia="zh-CN"/>
              </w:rPr>
              <w:t>（提前购回日）</w:t>
            </w:r>
            <w:r>
              <w:rPr>
                <w:rFonts w:hint="eastAsia" w:ascii="宋体" w:hAnsi="宋体" w:eastAsia="宋体" w:cs="宋体"/>
                <w:color w:val="000000"/>
                <w:kern w:val="0"/>
                <w:sz w:val="24"/>
                <w:szCs w:val="24"/>
                <w:highlight w:val="none"/>
                <w:u w:val="single"/>
              </w:rPr>
              <w:t>T日可用，T+</w:t>
            </w:r>
            <w:r>
              <w:rPr>
                <w:rFonts w:hint="eastAsia" w:ascii="宋体" w:hAnsi="宋体" w:cs="宋体"/>
                <w:color w:val="000000"/>
                <w:kern w:val="0"/>
                <w:sz w:val="24"/>
                <w:szCs w:val="24"/>
                <w:highlight w:val="none"/>
                <w:u w:val="single"/>
                <w:lang w:val="en-US" w:eastAsia="zh-CN"/>
              </w:rPr>
              <w:t>1</w:t>
            </w:r>
            <w:r>
              <w:rPr>
                <w:rFonts w:hint="eastAsia" w:ascii="宋体" w:hAnsi="宋体" w:eastAsia="宋体" w:cs="宋体"/>
                <w:color w:val="000000"/>
                <w:kern w:val="0"/>
                <w:sz w:val="24"/>
                <w:szCs w:val="24"/>
                <w:highlight w:val="none"/>
                <w:u w:val="single"/>
              </w:rPr>
              <w:t>日可取。</w:t>
            </w:r>
          </w:p>
          <w:p>
            <w:pPr>
              <w:widowControl/>
              <w:jc w:val="both"/>
              <w:rPr>
                <w:rFonts w:hint="eastAsia" w:ascii="宋体" w:hAnsi="宋体" w:eastAsia="宋体" w:cs="宋体"/>
                <w:b/>
                <w:bCs/>
                <w:color w:val="000000"/>
                <w:kern w:val="0"/>
                <w:sz w:val="32"/>
                <w:szCs w:val="32"/>
              </w:rPr>
            </w:pPr>
            <w:r>
              <w:rPr>
                <w:rFonts w:hint="eastAsia" w:ascii="宋体" w:hAnsi="宋体" w:eastAsia="宋体" w:cs="宋体"/>
                <w:b/>
                <w:color w:val="000000"/>
                <w:kern w:val="0"/>
                <w:sz w:val="24"/>
                <w:szCs w:val="24"/>
                <w:u w:val="single"/>
              </w:rPr>
              <w:t>质押物种类：</w:t>
            </w:r>
            <w:r>
              <w:rPr>
                <w:rFonts w:hint="eastAsia" w:ascii="宋体" w:hAnsi="宋体" w:eastAsia="宋体" w:cs="宋体"/>
                <w:color w:val="000000"/>
                <w:kern w:val="0"/>
                <w:sz w:val="24"/>
                <w:szCs w:val="24"/>
                <w:u w:val="single"/>
              </w:rPr>
              <w:t>符合深圳证券交易所质押式报价回购交易相关规定的债券、基金专户份额、深交所和中国结算认可的其他证券、现金等。</w:t>
            </w:r>
          </w:p>
        </w:tc>
      </w:tr>
      <w:tr>
        <w:tblPrEx>
          <w:tblCellMar>
            <w:top w:w="0" w:type="dxa"/>
            <w:left w:w="108" w:type="dxa"/>
            <w:bottom w:w="0" w:type="dxa"/>
            <w:right w:w="108" w:type="dxa"/>
          </w:tblCellMar>
        </w:tblPrEx>
        <w:trPr>
          <w:trHeight w:val="2061" w:hRule="atLeast"/>
        </w:trPr>
        <w:tc>
          <w:tcPr>
            <w:tcW w:w="9760" w:type="dxa"/>
            <w:gridSpan w:val="2"/>
            <w:tcBorders>
              <w:top w:val="single" w:color="auto" w:sz="4" w:space="0"/>
              <w:left w:val="single" w:color="auto" w:sz="4" w:space="0"/>
              <w:bottom w:val="nil"/>
              <w:right w:val="single" w:color="000000" w:sz="4" w:space="0"/>
            </w:tcBorders>
            <w:noWrap w:val="0"/>
            <w:vAlign w:val="center"/>
          </w:tcPr>
          <w:p>
            <w:pPr>
              <w:widowControl/>
              <w:jc w:val="left"/>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什么是</w:t>
            </w:r>
            <w:r>
              <w:rPr>
                <w:rFonts w:hint="eastAsia" w:ascii="宋体" w:hAnsi="宋体" w:cs="宋体"/>
                <w:b/>
                <w:bCs/>
                <w:color w:val="000000"/>
                <w:kern w:val="0"/>
                <w:sz w:val="32"/>
                <w:szCs w:val="32"/>
                <w:lang w:val="en-US" w:eastAsia="zh-CN"/>
              </w:rPr>
              <w:t>深圳</w:t>
            </w:r>
            <w:r>
              <w:rPr>
                <w:rFonts w:hint="eastAsia" w:ascii="宋体" w:hAnsi="宋体" w:eastAsia="宋体" w:cs="宋体"/>
                <w:b/>
                <w:bCs/>
                <w:color w:val="000000"/>
                <w:kern w:val="0"/>
                <w:sz w:val="32"/>
                <w:szCs w:val="32"/>
              </w:rPr>
              <w:t>质押式报价回购？</w:t>
            </w:r>
          </w:p>
          <w:p>
            <w:pPr>
              <w:keepNext w:val="0"/>
              <w:keepLines w:val="0"/>
              <w:widowControl/>
              <w:suppressLineNumbers w:val="0"/>
              <w:jc w:val="left"/>
              <w:rPr>
                <w:rFonts w:hint="eastAsia" w:ascii="宋体" w:hAnsi="宋体" w:cs="宋体"/>
                <w:color w:val="000000"/>
                <w:kern w:val="0"/>
                <w:sz w:val="24"/>
                <w:szCs w:val="24"/>
                <w:lang w:eastAsia="zh-CN"/>
              </w:rPr>
            </w:pPr>
            <w:r>
              <w:rPr>
                <w:rFonts w:hint="eastAsia" w:ascii="宋体" w:hAnsi="宋体" w:eastAsia="宋体" w:cs="宋体"/>
                <w:color w:val="000000"/>
                <w:kern w:val="0"/>
                <w:sz w:val="24"/>
                <w:szCs w:val="24"/>
              </w:rPr>
              <w:t>深圳</w:t>
            </w:r>
            <w:r>
              <w:rPr>
                <w:rFonts w:hint="eastAsia" w:ascii="宋体" w:hAnsi="宋体" w:cs="宋体"/>
                <w:color w:val="000000"/>
                <w:kern w:val="0"/>
                <w:sz w:val="24"/>
                <w:szCs w:val="24"/>
                <w:lang w:val="en-US" w:eastAsia="zh-CN"/>
              </w:rPr>
              <w:t>证券</w:t>
            </w:r>
            <w:r>
              <w:rPr>
                <w:rFonts w:hint="eastAsia" w:ascii="宋体" w:hAnsi="宋体" w:eastAsia="宋体" w:cs="宋体"/>
                <w:color w:val="000000"/>
                <w:kern w:val="0"/>
                <w:sz w:val="24"/>
                <w:szCs w:val="24"/>
              </w:rPr>
              <w:t>交易所质押式报价回购</w:t>
            </w:r>
            <w:r>
              <w:rPr>
                <w:rFonts w:hint="eastAsia" w:ascii="宋体" w:hAnsi="宋体" w:cs="宋体"/>
                <w:color w:val="000000"/>
                <w:kern w:val="0"/>
                <w:sz w:val="24"/>
                <w:szCs w:val="24"/>
                <w:lang w:eastAsia="zh-CN"/>
              </w:rPr>
              <w:t>交易</w:t>
            </w:r>
            <w:r>
              <w:rPr>
                <w:rFonts w:hint="eastAsia" w:ascii="宋体" w:hAnsi="宋体" w:eastAsia="宋体" w:cs="宋体"/>
                <w:color w:val="000000"/>
                <w:kern w:val="0"/>
                <w:sz w:val="24"/>
                <w:szCs w:val="24"/>
              </w:rPr>
              <w:t>，是指证券公司将符合《业务办法》规定的自有资产作为质押物，以质押物折算后的标准券数量所对应金额作为融资的额度，通过报价方式向证券公司符合条件的客户融入资金，同时约定证券公司在回购到期时向客户返还融入资金、支付相应收益的交易</w:t>
            </w:r>
            <w:r>
              <w:rPr>
                <w:rFonts w:hint="eastAsia" w:ascii="宋体" w:hAnsi="宋体" w:cs="宋体"/>
                <w:color w:val="000000"/>
                <w:kern w:val="0"/>
                <w:sz w:val="24"/>
                <w:szCs w:val="24"/>
                <w:lang w:eastAsia="zh-CN"/>
              </w:rPr>
              <w:t>。</w:t>
            </w:r>
          </w:p>
          <w:p>
            <w:pPr>
              <w:keepNext w:val="0"/>
              <w:keepLines w:val="0"/>
              <w:widowControl/>
              <w:suppressLineNumbers w:val="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初始交易：指证券公司提供质押物，通过报价方式向客户融入资金的交易。</w:t>
            </w:r>
          </w:p>
          <w:p>
            <w:pPr>
              <w:keepNext w:val="0"/>
              <w:keepLines w:val="0"/>
              <w:widowControl/>
              <w:suppressLineNumbers w:val="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购回交易：指证券公司向客户返还融入资金、支付相应收益的交易，包括到期购回和提前购回。</w:t>
            </w:r>
          </w:p>
          <w:p>
            <w:pPr>
              <w:keepNext w:val="0"/>
              <w:keepLines w:val="0"/>
              <w:widowControl/>
              <w:suppressLineNumbers w:val="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质押物：指证券公司提交的作为报价回购交易履约担保并集中存放于质押库和担保资金账户中的自有证券和现金。</w:t>
            </w:r>
          </w:p>
          <w:p>
            <w:pPr>
              <w:keepNext w:val="0"/>
              <w:keepLines w:val="0"/>
              <w:widowControl/>
              <w:suppressLineNumbers w:val="0"/>
              <w:spacing w:line="240" w:lineRule="auto"/>
              <w:jc w:val="left"/>
              <w:rPr>
                <w:rFonts w:hint="eastAsia" w:ascii="Times New Roman" w:hAnsi="Times New Roman" w:eastAsia="楷体" w:cs="Times New Roman"/>
                <w:color w:val="000000"/>
                <w:kern w:val="0"/>
                <w:sz w:val="24"/>
                <w:szCs w:val="24"/>
              </w:rPr>
            </w:pPr>
            <w:r>
              <w:drawing>
                <wp:inline distT="0" distB="0" distL="114300" distR="114300">
                  <wp:extent cx="4037330" cy="1720850"/>
                  <wp:effectExtent l="0" t="0" r="1270" b="6350"/>
                  <wp:docPr id="4" name="图片 4" descr="账户结构图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账户结构图_03"/>
                          <pic:cNvPicPr>
                            <a:picLocks noChangeAspect="1"/>
                          </pic:cNvPicPr>
                        </pic:nvPicPr>
                        <pic:blipFill>
                          <a:blip r:embed="rId6"/>
                          <a:srcRect l="3640" t="8467" r="4857" b="22193"/>
                          <a:stretch>
                            <a:fillRect/>
                          </a:stretch>
                        </pic:blipFill>
                        <pic:spPr>
                          <a:xfrm>
                            <a:off x="0" y="0"/>
                            <a:ext cx="4037330" cy="1720850"/>
                          </a:xfrm>
                          <a:prstGeom prst="rect">
                            <a:avLst/>
                          </a:prstGeom>
                        </pic:spPr>
                      </pic:pic>
                    </a:graphicData>
                  </a:graphic>
                </wp:inline>
              </w:drawing>
            </w:r>
            <w:r>
              <w:drawing>
                <wp:inline distT="0" distB="0" distL="114300" distR="114300">
                  <wp:extent cx="1955165" cy="1703705"/>
                  <wp:effectExtent l="0" t="0" r="635" b="10795"/>
                  <wp:docPr id="2" name="图片 1"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3"/>
                          <pic:cNvPicPr>
                            <a:picLocks noChangeAspect="1"/>
                          </pic:cNvPicPr>
                        </pic:nvPicPr>
                        <pic:blipFill>
                          <a:blip r:embed="rId7"/>
                          <a:srcRect l="55472" t="8266" r="4736" b="8266"/>
                          <a:stretch>
                            <a:fillRect/>
                          </a:stretch>
                        </pic:blipFill>
                        <pic:spPr>
                          <a:xfrm>
                            <a:off x="0" y="0"/>
                            <a:ext cx="1955165" cy="1703705"/>
                          </a:xfrm>
                          <a:prstGeom prst="rect">
                            <a:avLst/>
                          </a:prstGeom>
                        </pic:spPr>
                      </pic:pic>
                    </a:graphicData>
                  </a:graphic>
                </wp:inline>
              </w:drawing>
            </w:r>
          </w:p>
        </w:tc>
      </w:tr>
      <w:tr>
        <w:tblPrEx>
          <w:tblCellMar>
            <w:top w:w="0" w:type="dxa"/>
            <w:left w:w="108" w:type="dxa"/>
            <w:bottom w:w="0" w:type="dxa"/>
            <w:right w:w="108" w:type="dxa"/>
          </w:tblCellMar>
        </w:tblPrEx>
        <w:trPr>
          <w:trHeight w:val="544" w:hRule="atLeast"/>
        </w:trPr>
        <w:tc>
          <w:tcPr>
            <w:tcW w:w="9760" w:type="dxa"/>
            <w:gridSpan w:val="2"/>
            <w:tcBorders>
              <w:top w:val="single" w:color="auto" w:sz="4" w:space="0"/>
              <w:left w:val="single" w:color="auto" w:sz="4" w:space="0"/>
              <w:bottom w:val="nil"/>
              <w:right w:val="single" w:color="000000" w:sz="4" w:space="0"/>
            </w:tcBorders>
            <w:noWrap w:val="0"/>
            <w:vAlign w:val="center"/>
          </w:tcPr>
          <w:p>
            <w:pPr>
              <w:widowControl/>
              <w:jc w:val="left"/>
              <w:rPr>
                <w:rFonts w:ascii="Times New Roman" w:hAnsi="Times New Roman" w:eastAsia="楷体" w:cs="Times New Roman"/>
                <w:b/>
                <w:bCs/>
                <w:color w:val="000000"/>
                <w:kern w:val="0"/>
                <w:sz w:val="24"/>
                <w:szCs w:val="24"/>
              </w:rPr>
            </w:pPr>
            <w:r>
              <w:rPr>
                <w:rFonts w:ascii="Times New Roman" w:hAnsi="Times New Roman" w:eastAsia="楷体" w:cs="Times New Roman"/>
                <w:b/>
                <w:bCs/>
                <w:color w:val="000000"/>
                <w:kern w:val="0"/>
                <w:sz w:val="32"/>
                <w:szCs w:val="32"/>
              </w:rPr>
              <w:t>产品有哪些主要风险？</w:t>
            </w:r>
          </w:p>
        </w:tc>
      </w:tr>
      <w:tr>
        <w:tblPrEx>
          <w:tblCellMar>
            <w:top w:w="0" w:type="dxa"/>
            <w:left w:w="108" w:type="dxa"/>
            <w:bottom w:w="0" w:type="dxa"/>
            <w:right w:w="108" w:type="dxa"/>
          </w:tblCellMar>
        </w:tblPrEx>
        <w:trPr>
          <w:trHeight w:val="900" w:hRule="atLeast"/>
        </w:trPr>
        <w:tc>
          <w:tcPr>
            <w:tcW w:w="9760" w:type="dxa"/>
            <w:gridSpan w:val="2"/>
            <w:tcBorders>
              <w:top w:val="nil"/>
              <w:left w:val="single" w:color="auto" w:sz="4" w:space="0"/>
              <w:bottom w:val="single" w:color="auto" w:sz="4" w:space="0"/>
              <w:right w:val="single" w:color="000000" w:sz="4" w:space="0"/>
            </w:tcBorders>
            <w:noWrap w:val="0"/>
            <w:vAlign w:val="center"/>
          </w:tcPr>
          <w:p>
            <w:pPr>
              <w:widowControl/>
              <w:jc w:val="left"/>
              <w:rPr>
                <w:rFonts w:hint="default"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1、客户在办理报价回购交易前，应对自身参与的适当性、合法性进行审慎评估，避免因不当参与而产生损失</w:t>
            </w:r>
            <w:r>
              <w:rPr>
                <w:rFonts w:hint="default" w:ascii="宋体" w:hAnsi="宋体" w:eastAsia="宋体" w:cs="宋体"/>
                <w:color w:val="000000"/>
                <w:kern w:val="0"/>
                <w:sz w:val="24"/>
                <w:szCs w:val="24"/>
              </w:rPr>
              <w:t>；</w:t>
            </w:r>
          </w:p>
          <w:p>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2、客户在参与报价回购交易前，须了解</w:t>
            </w:r>
            <w:r>
              <w:rPr>
                <w:rFonts w:hint="eastAsia" w:ascii="宋体" w:hAnsi="宋体" w:cs="宋体"/>
                <w:color w:val="000000"/>
                <w:kern w:val="0"/>
                <w:sz w:val="24"/>
                <w:szCs w:val="24"/>
                <w:lang w:val="en-US" w:eastAsia="zh-CN"/>
              </w:rPr>
              <w:t>长江证券</w:t>
            </w:r>
            <w:r>
              <w:rPr>
                <w:rFonts w:hint="eastAsia" w:ascii="宋体" w:hAnsi="宋体" w:eastAsia="宋体" w:cs="宋体"/>
                <w:color w:val="000000"/>
                <w:kern w:val="0"/>
                <w:sz w:val="24"/>
                <w:szCs w:val="24"/>
                <w:lang w:val="en-US" w:eastAsia="zh-CN"/>
              </w:rPr>
              <w:t>是否已获得同意并开通深交所报价回购交易权限</w:t>
            </w:r>
            <w:r>
              <w:rPr>
                <w:rFonts w:hint="eastAsia" w:ascii="宋体" w:hAnsi="宋体" w:eastAsia="宋体" w:cs="宋体"/>
                <w:color w:val="000000"/>
                <w:kern w:val="0"/>
                <w:sz w:val="24"/>
                <w:szCs w:val="24"/>
                <w:lang w:eastAsia="zh-CN"/>
              </w:rPr>
              <w:t>；</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cs="宋体"/>
                <w:color w:val="000000"/>
                <w:kern w:val="0"/>
                <w:sz w:val="24"/>
                <w:szCs w:val="24"/>
                <w:lang w:val="en-US" w:eastAsia="zh-CN"/>
              </w:rPr>
              <w:t>报价回购交易具有利益冲突风险、市场风险、流动性风险、信用风险、操作风险、政策风险及其他各类风险。</w:t>
            </w:r>
          </w:p>
          <w:p>
            <w:pPr>
              <w:widowControl/>
              <w:jc w:val="left"/>
              <w:rPr>
                <w:rFonts w:ascii="Times New Roman" w:hAnsi="Times New Roman" w:eastAsia="楷体" w:cs="Times New Roman"/>
                <w:color w:val="000000"/>
                <w:kern w:val="0"/>
                <w:sz w:val="24"/>
                <w:szCs w:val="24"/>
              </w:rPr>
            </w:pPr>
            <w:r>
              <w:rPr>
                <w:rFonts w:hint="eastAsia" w:ascii="宋体" w:hAnsi="宋体" w:eastAsia="宋体" w:cs="宋体"/>
                <w:color w:val="000000"/>
                <w:kern w:val="0"/>
                <w:sz w:val="24"/>
                <w:szCs w:val="24"/>
              </w:rPr>
              <w:t>详情请参阅《长江证券股份有限公司深圳质押式报价回购交易风险揭示书》。</w:t>
            </w:r>
          </w:p>
        </w:tc>
      </w:tr>
      <w:tr>
        <w:tblPrEx>
          <w:tblCellMar>
            <w:top w:w="0" w:type="dxa"/>
            <w:left w:w="108" w:type="dxa"/>
            <w:bottom w:w="0" w:type="dxa"/>
            <w:right w:w="108" w:type="dxa"/>
          </w:tblCellMar>
        </w:tblPrEx>
        <w:trPr>
          <w:trHeight w:val="724" w:hRule="atLeast"/>
        </w:trPr>
        <w:tc>
          <w:tcPr>
            <w:tcW w:w="9760" w:type="dxa"/>
            <w:gridSpan w:val="2"/>
            <w:tcBorders>
              <w:top w:val="single" w:color="auto" w:sz="4" w:space="0"/>
              <w:left w:val="single" w:color="auto" w:sz="4" w:space="0"/>
              <w:bottom w:val="nil"/>
              <w:right w:val="single" w:color="000000" w:sz="4" w:space="0"/>
            </w:tcBorders>
            <w:noWrap w:val="0"/>
            <w:vAlign w:val="center"/>
          </w:tcPr>
          <w:p>
            <w:pPr>
              <w:widowControl/>
              <w:jc w:val="left"/>
              <w:rPr>
                <w:rFonts w:ascii="Times New Roman" w:hAnsi="Times New Roman" w:eastAsia="楷体" w:cs="Times New Roman"/>
                <w:b/>
                <w:bCs/>
                <w:color w:val="000000"/>
                <w:kern w:val="0"/>
                <w:sz w:val="24"/>
                <w:szCs w:val="24"/>
              </w:rPr>
            </w:pPr>
            <w:r>
              <w:rPr>
                <w:rFonts w:ascii="Times New Roman" w:hAnsi="Times New Roman" w:eastAsia="楷体" w:cs="Times New Roman"/>
                <w:b/>
                <w:bCs/>
                <w:color w:val="000000"/>
                <w:kern w:val="0"/>
                <w:sz w:val="32"/>
                <w:szCs w:val="32"/>
              </w:rPr>
              <w:t>客户如何参与产品？</w:t>
            </w:r>
          </w:p>
        </w:tc>
      </w:tr>
      <w:tr>
        <w:tblPrEx>
          <w:tblCellMar>
            <w:top w:w="0" w:type="dxa"/>
            <w:left w:w="108" w:type="dxa"/>
            <w:bottom w:w="0" w:type="dxa"/>
            <w:right w:w="108" w:type="dxa"/>
          </w:tblCellMar>
        </w:tblPrEx>
        <w:trPr>
          <w:trHeight w:val="3213" w:hRule="atLeast"/>
        </w:trPr>
        <w:tc>
          <w:tcPr>
            <w:tcW w:w="9760" w:type="dxa"/>
            <w:gridSpan w:val="2"/>
            <w:tcBorders>
              <w:top w:val="nil"/>
              <w:left w:val="single" w:color="auto" w:sz="4" w:space="0"/>
              <w:bottom w:val="nil"/>
              <w:right w:val="single" w:color="000000"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客户通过深交所网站、</w:t>
            </w:r>
            <w:r>
              <w:rPr>
                <w:rFonts w:hint="eastAsia" w:ascii="宋体" w:hAnsi="宋体" w:eastAsia="宋体" w:cs="宋体"/>
                <w:color w:val="000000"/>
                <w:kern w:val="0"/>
                <w:sz w:val="24"/>
                <w:szCs w:val="24"/>
                <w:lang w:val="en-US" w:eastAsia="zh-CN"/>
              </w:rPr>
              <w:t>长江证券</w:t>
            </w:r>
            <w:r>
              <w:rPr>
                <w:rFonts w:hint="eastAsia" w:ascii="宋体" w:hAnsi="宋体" w:cs="宋体"/>
                <w:color w:val="000000"/>
                <w:kern w:val="0"/>
                <w:sz w:val="24"/>
                <w:szCs w:val="24"/>
                <w:lang w:val="en-US" w:eastAsia="zh-CN"/>
              </w:rPr>
              <w:t>官网（</w:t>
            </w:r>
            <w:r>
              <w:rPr>
                <w:rFonts w:hint="eastAsia" w:ascii="宋体" w:hAnsi="宋体" w:eastAsia="宋体" w:cs="宋体"/>
                <w:color w:val="000000"/>
                <w:kern w:val="0"/>
                <w:sz w:val="24"/>
                <w:szCs w:val="24"/>
              </w:rPr>
              <w:t>www.</w:t>
            </w:r>
            <w:r>
              <w:rPr>
                <w:rFonts w:hint="eastAsia" w:ascii="宋体" w:hAnsi="宋体" w:eastAsia="宋体" w:cs="宋体"/>
                <w:color w:val="000000"/>
                <w:kern w:val="0"/>
                <w:sz w:val="24"/>
                <w:szCs w:val="24"/>
                <w:lang w:val="en-US" w:eastAsia="zh-CN"/>
              </w:rPr>
              <w:t>95579</w:t>
            </w:r>
            <w:r>
              <w:rPr>
                <w:rFonts w:hint="eastAsia" w:ascii="宋体" w:hAnsi="宋体" w:eastAsia="宋体" w:cs="宋体"/>
                <w:color w:val="000000"/>
                <w:kern w:val="0"/>
                <w:sz w:val="24"/>
                <w:szCs w:val="24"/>
              </w:rPr>
              <w:t>.com</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长江e号</w:t>
            </w:r>
            <w:r>
              <w:rPr>
                <w:rFonts w:hint="eastAsia" w:ascii="宋体" w:hAnsi="宋体" w:eastAsia="宋体" w:cs="宋体"/>
                <w:color w:val="000000"/>
                <w:kern w:val="0"/>
                <w:sz w:val="24"/>
                <w:szCs w:val="24"/>
              </w:rPr>
              <w:t>APP、955</w:t>
            </w:r>
            <w:r>
              <w:rPr>
                <w:rFonts w:hint="eastAsia" w:ascii="宋体" w:hAnsi="宋体" w:eastAsia="宋体" w:cs="宋体"/>
                <w:color w:val="000000"/>
                <w:kern w:val="0"/>
                <w:sz w:val="24"/>
                <w:szCs w:val="24"/>
                <w:lang w:val="en-US" w:eastAsia="zh-CN"/>
              </w:rPr>
              <w:t>79客户服务热线</w:t>
            </w:r>
            <w:r>
              <w:rPr>
                <w:rFonts w:hint="eastAsia" w:ascii="宋体" w:hAnsi="宋体" w:eastAsia="宋体" w:cs="宋体"/>
                <w:color w:val="000000"/>
                <w:kern w:val="0"/>
                <w:sz w:val="24"/>
                <w:szCs w:val="24"/>
              </w:rPr>
              <w:t>等渠道</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全面</w:t>
            </w:r>
            <w:r>
              <w:rPr>
                <w:rFonts w:hint="eastAsia" w:ascii="宋体" w:hAnsi="宋体" w:eastAsia="宋体" w:cs="宋体"/>
                <w:color w:val="000000"/>
                <w:kern w:val="0"/>
                <w:sz w:val="24"/>
                <w:szCs w:val="24"/>
              </w:rPr>
              <w:t>了解</w:t>
            </w:r>
            <w:r>
              <w:rPr>
                <w:rFonts w:hint="eastAsia" w:ascii="宋体" w:hAnsi="宋体" w:cs="宋体"/>
                <w:color w:val="000000"/>
                <w:kern w:val="0"/>
                <w:sz w:val="24"/>
                <w:szCs w:val="24"/>
                <w:lang w:val="en-US" w:eastAsia="zh-CN"/>
              </w:rPr>
              <w:t>深圳</w:t>
            </w:r>
            <w:r>
              <w:rPr>
                <w:rFonts w:hint="eastAsia" w:ascii="宋体" w:hAnsi="宋体" w:eastAsia="宋体" w:cs="宋体"/>
                <w:color w:val="000000"/>
                <w:kern w:val="0"/>
                <w:sz w:val="24"/>
                <w:szCs w:val="24"/>
              </w:rPr>
              <w:t>质押式报价回购交易</w:t>
            </w:r>
            <w:r>
              <w:rPr>
                <w:rFonts w:hint="eastAsia" w:ascii="宋体" w:hAnsi="宋体" w:eastAsia="宋体" w:cs="宋体"/>
                <w:color w:val="000000"/>
                <w:kern w:val="0"/>
                <w:sz w:val="24"/>
                <w:szCs w:val="24"/>
                <w:lang w:val="en-US" w:eastAsia="zh-CN"/>
              </w:rPr>
              <w:t>相关规则</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充分理解业务性质、风险收益特征及</w:t>
            </w:r>
            <w:r>
              <w:rPr>
                <w:rFonts w:hint="eastAsia" w:ascii="宋体" w:hAnsi="宋体" w:eastAsia="宋体" w:cs="宋体"/>
                <w:color w:val="000000"/>
                <w:kern w:val="0"/>
                <w:sz w:val="24"/>
                <w:szCs w:val="24"/>
              </w:rPr>
              <w:t>相关注意</w:t>
            </w:r>
            <w:r>
              <w:rPr>
                <w:rFonts w:hint="eastAsia" w:ascii="宋体" w:hAnsi="宋体" w:cs="宋体"/>
                <w:color w:val="000000"/>
                <w:kern w:val="0"/>
                <w:sz w:val="24"/>
                <w:szCs w:val="24"/>
                <w:lang w:val="en-US" w:eastAsia="zh-CN"/>
              </w:rPr>
              <w:t>事项</w:t>
            </w:r>
            <w:r>
              <w:rPr>
                <w:rFonts w:hint="eastAsia" w:ascii="宋体" w:hAnsi="宋体" w:eastAsia="宋体" w:cs="宋体"/>
                <w:color w:val="000000"/>
                <w:kern w:val="0"/>
                <w:sz w:val="24"/>
                <w:szCs w:val="24"/>
              </w:rPr>
              <w:t>。</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 </w:t>
            </w:r>
            <w:r>
              <w:rPr>
                <w:rFonts w:hint="eastAsia" w:ascii="宋体" w:hAnsi="宋体" w:eastAsia="宋体" w:cs="宋体"/>
                <w:color w:val="000000"/>
                <w:kern w:val="0"/>
                <w:sz w:val="24"/>
                <w:szCs w:val="24"/>
                <w:lang w:val="en-US" w:eastAsia="zh-CN"/>
              </w:rPr>
              <w:t>符合条件的</w:t>
            </w:r>
            <w:r>
              <w:rPr>
                <w:rFonts w:hint="eastAsia" w:ascii="宋体" w:hAnsi="宋体" w:eastAsia="宋体" w:cs="宋体"/>
                <w:color w:val="000000"/>
                <w:kern w:val="0"/>
                <w:sz w:val="24"/>
                <w:szCs w:val="24"/>
              </w:rPr>
              <w:t>客户在</w:t>
            </w:r>
            <w:r>
              <w:rPr>
                <w:rFonts w:hint="eastAsia" w:ascii="宋体" w:hAnsi="宋体" w:eastAsia="宋体" w:cs="宋体"/>
                <w:color w:val="000000"/>
                <w:kern w:val="0"/>
                <w:sz w:val="24"/>
                <w:szCs w:val="24"/>
                <w:lang w:val="en-US" w:eastAsia="zh-CN"/>
              </w:rPr>
              <w:t>充分理解</w:t>
            </w:r>
            <w:r>
              <w:rPr>
                <w:rFonts w:hint="eastAsia" w:ascii="宋体" w:hAnsi="宋体" w:eastAsia="宋体" w:cs="宋体"/>
                <w:color w:val="000000"/>
                <w:kern w:val="0"/>
                <w:sz w:val="24"/>
                <w:szCs w:val="24"/>
              </w:rPr>
              <w:t>该产品交易规则和潜在风险</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并</w:t>
            </w:r>
            <w:r>
              <w:rPr>
                <w:rFonts w:hint="eastAsia" w:ascii="宋体" w:hAnsi="宋体" w:eastAsia="宋体" w:cs="宋体"/>
                <w:color w:val="000000"/>
                <w:kern w:val="0"/>
                <w:sz w:val="24"/>
                <w:szCs w:val="24"/>
              </w:rPr>
              <w:t>确</w:t>
            </w:r>
            <w:r>
              <w:rPr>
                <w:rFonts w:hint="eastAsia" w:ascii="宋体" w:hAnsi="宋体" w:cs="宋体"/>
                <w:color w:val="000000"/>
                <w:kern w:val="0"/>
                <w:sz w:val="24"/>
                <w:szCs w:val="24"/>
                <w:lang w:eastAsia="zh-CN"/>
              </w:rPr>
              <w:t>定</w:t>
            </w:r>
            <w:r>
              <w:rPr>
                <w:rFonts w:hint="eastAsia" w:ascii="宋体" w:hAnsi="宋体" w:eastAsia="宋体" w:cs="宋体"/>
                <w:color w:val="000000"/>
                <w:kern w:val="0"/>
                <w:sz w:val="24"/>
                <w:szCs w:val="24"/>
              </w:rPr>
              <w:t>自</w:t>
            </w:r>
            <w:r>
              <w:rPr>
                <w:rFonts w:hint="eastAsia" w:ascii="宋体" w:hAnsi="宋体" w:cs="宋体"/>
                <w:color w:val="000000"/>
                <w:kern w:val="0"/>
                <w:sz w:val="24"/>
                <w:szCs w:val="24"/>
                <w:lang w:eastAsia="zh-CN"/>
              </w:rPr>
              <w:t>身</w:t>
            </w:r>
            <w:r>
              <w:rPr>
                <w:rFonts w:hint="eastAsia" w:ascii="宋体" w:hAnsi="宋体" w:eastAsia="宋体" w:cs="宋体"/>
                <w:color w:val="000000"/>
                <w:kern w:val="0"/>
                <w:sz w:val="24"/>
                <w:szCs w:val="24"/>
              </w:rPr>
              <w:t>已经做好足够的风险控制和财务安排</w:t>
            </w:r>
            <w:r>
              <w:rPr>
                <w:rFonts w:hint="eastAsia" w:ascii="宋体" w:hAnsi="宋体" w:eastAsia="宋体" w:cs="宋体"/>
                <w:color w:val="000000"/>
                <w:kern w:val="0"/>
                <w:sz w:val="24"/>
                <w:szCs w:val="24"/>
                <w:lang w:val="en-US" w:eastAsia="zh-CN"/>
              </w:rPr>
              <w:t>的前提下</w:t>
            </w:r>
            <w:r>
              <w:rPr>
                <w:rFonts w:hint="eastAsia" w:ascii="宋体" w:hAnsi="宋体" w:eastAsia="宋体" w:cs="宋体"/>
                <w:color w:val="000000"/>
                <w:kern w:val="0"/>
                <w:sz w:val="24"/>
                <w:szCs w:val="24"/>
              </w:rPr>
              <w:t>，同意并签署《客户协议》《风险揭示书》和《产品资料概览》后，方可参与报价回购交易。</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客户</w:t>
            </w:r>
            <w:r>
              <w:rPr>
                <w:rFonts w:hint="eastAsia" w:ascii="宋体" w:hAnsi="宋体" w:cs="宋体"/>
                <w:color w:val="000000"/>
                <w:kern w:val="0"/>
                <w:sz w:val="24"/>
                <w:szCs w:val="24"/>
                <w:lang w:val="en-US" w:eastAsia="zh-CN"/>
              </w:rPr>
              <w:t>在每个交易日9：15后</w:t>
            </w:r>
            <w:r>
              <w:rPr>
                <w:rFonts w:hint="eastAsia" w:ascii="宋体" w:hAnsi="宋体" w:eastAsia="宋体" w:cs="宋体"/>
                <w:color w:val="000000"/>
                <w:kern w:val="0"/>
                <w:sz w:val="24"/>
                <w:szCs w:val="24"/>
              </w:rPr>
              <w:t>通过长江证券</w:t>
            </w:r>
            <w:r>
              <w:rPr>
                <w:rFonts w:hint="eastAsia" w:ascii="宋体" w:hAnsi="宋体" w:cs="宋体"/>
                <w:color w:val="000000"/>
                <w:kern w:val="0"/>
                <w:sz w:val="24"/>
                <w:szCs w:val="24"/>
                <w:lang w:val="en-US" w:eastAsia="zh-CN"/>
              </w:rPr>
              <w:t>交易系统或公司网站</w:t>
            </w:r>
            <w:r>
              <w:rPr>
                <w:rFonts w:hint="eastAsia" w:ascii="宋体" w:hAnsi="宋体" w:eastAsia="宋体" w:cs="宋体"/>
                <w:color w:val="000000"/>
                <w:kern w:val="0"/>
                <w:sz w:val="24"/>
                <w:szCs w:val="24"/>
              </w:rPr>
              <w:t>查看产品期限、报价和额度等信息，并通过长江证券交易</w:t>
            </w:r>
            <w:r>
              <w:rPr>
                <w:rFonts w:hint="eastAsia" w:ascii="宋体" w:hAnsi="宋体" w:cs="宋体"/>
                <w:color w:val="000000"/>
                <w:kern w:val="0"/>
                <w:sz w:val="24"/>
                <w:szCs w:val="24"/>
                <w:lang w:val="en-US" w:eastAsia="zh-CN"/>
              </w:rPr>
              <w:t>系统（长江e号、柜台委托等）</w:t>
            </w:r>
            <w:r>
              <w:rPr>
                <w:rFonts w:hint="eastAsia" w:ascii="宋体" w:hAnsi="宋体" w:eastAsia="宋体" w:cs="宋体"/>
                <w:color w:val="000000"/>
                <w:kern w:val="0"/>
                <w:sz w:val="24"/>
                <w:szCs w:val="24"/>
              </w:rPr>
              <w:t>购买该产品。</w:t>
            </w:r>
          </w:p>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highlight w:val="none"/>
              </w:rPr>
              <w:t xml:space="preserve"> 客户可发出初始委托、续做委托、不再续做委托、提前购回委托以及预约提前购回委托。</w:t>
            </w:r>
          </w:p>
          <w:p>
            <w:pPr>
              <w:widowControl/>
              <w:jc w:val="left"/>
              <w:rPr>
                <w:rFonts w:ascii="Times New Roman" w:hAnsi="Times New Roman" w:eastAsia="楷体" w:cs="Times New Roman"/>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客户在</w:t>
            </w:r>
            <w:r>
              <w:rPr>
                <w:rFonts w:hint="eastAsia" w:ascii="宋体" w:hAnsi="宋体" w:eastAsia="宋体" w:cs="宋体"/>
                <w:color w:val="000000"/>
                <w:kern w:val="0"/>
                <w:sz w:val="24"/>
                <w:szCs w:val="24"/>
              </w:rPr>
              <w:t>产品到期时如不再续做，则自动购回。</w:t>
            </w:r>
          </w:p>
        </w:tc>
      </w:tr>
      <w:tr>
        <w:tblPrEx>
          <w:tblCellMar>
            <w:top w:w="0" w:type="dxa"/>
            <w:left w:w="108" w:type="dxa"/>
            <w:bottom w:w="0" w:type="dxa"/>
            <w:right w:w="108" w:type="dxa"/>
          </w:tblCellMar>
        </w:tblPrEx>
        <w:trPr>
          <w:trHeight w:val="569" w:hRule="atLeast"/>
        </w:trPr>
        <w:tc>
          <w:tcPr>
            <w:tcW w:w="9760" w:type="dxa"/>
            <w:gridSpan w:val="2"/>
            <w:tcBorders>
              <w:top w:val="single" w:color="auto" w:sz="4" w:space="0"/>
              <w:left w:val="single" w:color="auto" w:sz="4" w:space="0"/>
              <w:bottom w:val="nil"/>
              <w:right w:val="single" w:color="000000" w:sz="4" w:space="0"/>
            </w:tcBorders>
            <w:noWrap w:val="0"/>
            <w:vAlign w:val="center"/>
          </w:tcPr>
          <w:p>
            <w:pPr>
              <w:widowControl/>
              <w:jc w:val="left"/>
              <w:rPr>
                <w:rFonts w:hint="default" w:ascii="Times New Roman" w:hAnsi="Times New Roman" w:eastAsia="楷体" w:cs="Times New Roman"/>
                <w:b/>
                <w:bCs/>
                <w:color w:val="000000"/>
                <w:kern w:val="0"/>
                <w:sz w:val="24"/>
                <w:szCs w:val="24"/>
                <w:lang w:val="en-US" w:eastAsia="zh-CN"/>
              </w:rPr>
            </w:pPr>
            <w:r>
              <w:rPr>
                <w:rFonts w:ascii="Times New Roman" w:hAnsi="Times New Roman" w:eastAsia="楷体" w:cs="Times New Roman"/>
                <w:b/>
                <w:bCs/>
                <w:color w:val="000000"/>
                <w:kern w:val="0"/>
                <w:sz w:val="32"/>
                <w:szCs w:val="32"/>
              </w:rPr>
              <w:t>客户如何退出该产品？</w:t>
            </w:r>
          </w:p>
        </w:tc>
      </w:tr>
      <w:tr>
        <w:tblPrEx>
          <w:tblCellMar>
            <w:top w:w="0" w:type="dxa"/>
            <w:left w:w="108" w:type="dxa"/>
            <w:bottom w:w="0" w:type="dxa"/>
            <w:right w:w="108" w:type="dxa"/>
          </w:tblCellMar>
        </w:tblPrEx>
        <w:trPr>
          <w:trHeight w:val="104" w:hRule="atLeast"/>
        </w:trPr>
        <w:tc>
          <w:tcPr>
            <w:tcW w:w="9760" w:type="dxa"/>
            <w:gridSpan w:val="2"/>
            <w:tcBorders>
              <w:top w:val="nil"/>
              <w:left w:val="single" w:color="auto" w:sz="4" w:space="0"/>
              <w:bottom w:val="single" w:color="auto" w:sz="4" w:space="0"/>
              <w:right w:val="single" w:color="000000" w:sz="4" w:space="0"/>
            </w:tcBorders>
            <w:noWrap w:val="0"/>
            <w:vAlign w:val="center"/>
          </w:tcPr>
          <w:p>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自动续做：客户在初始交易时可选择是否自动续做。</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不再续做：在自动续做期间，客户可以发出不再续做委托指令，终止自动续做功能。</w:t>
            </w:r>
            <w:r>
              <w:rPr>
                <w:rFonts w:hint="eastAsia" w:ascii="宋体" w:hAnsi="宋体" w:eastAsia="宋体" w:cs="宋体"/>
                <w:color w:val="000000"/>
                <w:kern w:val="0"/>
                <w:sz w:val="24"/>
                <w:szCs w:val="24"/>
                <w:highlight w:val="none"/>
              </w:rPr>
              <w:t>选择自动续做的产品可在</w:t>
            </w:r>
            <w:r>
              <w:rPr>
                <w:rFonts w:hint="eastAsia" w:ascii="宋体" w:hAnsi="宋体" w:cs="宋体"/>
                <w:color w:val="000000"/>
                <w:kern w:val="0"/>
                <w:sz w:val="24"/>
                <w:szCs w:val="24"/>
                <w:highlight w:val="none"/>
                <w:lang w:val="en-US" w:eastAsia="zh-CN"/>
              </w:rPr>
              <w:t>回购到期日</w:t>
            </w:r>
            <w:r>
              <w:rPr>
                <w:rFonts w:hint="eastAsia" w:ascii="宋体" w:hAnsi="宋体" w:cs="宋体"/>
                <w:color w:val="000000"/>
                <w:kern w:val="0"/>
                <w:sz w:val="24"/>
                <w:highlight w:val="none"/>
              </w:rPr>
              <w:t>前一交易日的14：30前</w:t>
            </w:r>
            <w:r>
              <w:rPr>
                <w:rFonts w:hint="eastAsia" w:ascii="宋体" w:hAnsi="宋体" w:eastAsia="宋体" w:cs="宋体"/>
                <w:color w:val="000000"/>
                <w:kern w:val="0"/>
                <w:sz w:val="24"/>
                <w:szCs w:val="24"/>
                <w:highlight w:val="none"/>
              </w:rPr>
              <w:t>发出</w:t>
            </w:r>
            <w:r>
              <w:rPr>
                <w:rFonts w:hint="eastAsia" w:ascii="宋体" w:hAnsi="宋体" w:cs="宋体"/>
                <w:color w:val="000000"/>
                <w:kern w:val="0"/>
                <w:sz w:val="24"/>
                <w:szCs w:val="24"/>
                <w:highlight w:val="none"/>
                <w:lang w:val="en-US" w:eastAsia="zh-CN"/>
              </w:rPr>
              <w:t>不再</w:t>
            </w:r>
            <w:r>
              <w:rPr>
                <w:rFonts w:hint="eastAsia" w:ascii="宋体" w:hAnsi="宋体" w:eastAsia="宋体" w:cs="宋体"/>
                <w:color w:val="000000"/>
                <w:kern w:val="0"/>
                <w:sz w:val="24"/>
                <w:szCs w:val="24"/>
                <w:highlight w:val="none"/>
              </w:rPr>
              <w:t>续做指令，</w:t>
            </w:r>
            <w:r>
              <w:rPr>
                <w:rFonts w:hint="eastAsia" w:ascii="宋体" w:hAnsi="宋体" w:cs="宋体"/>
                <w:color w:val="000000"/>
                <w:kern w:val="0"/>
                <w:sz w:val="24"/>
                <w:highlight w:val="none"/>
              </w:rPr>
              <w:t>其中11：30-13：00时间段只接收委托不作申报</w:t>
            </w:r>
            <w:r>
              <w:rPr>
                <w:rFonts w:hint="eastAsia" w:ascii="宋体" w:hAnsi="宋体" w:cs="宋体"/>
                <w:color w:val="000000"/>
                <w:kern w:val="0"/>
                <w:sz w:val="24"/>
                <w:highlight w:val="none"/>
                <w:lang w:eastAsia="zh-CN"/>
              </w:rPr>
              <w:t>。</w:t>
            </w:r>
            <w:r>
              <w:rPr>
                <w:rFonts w:hint="eastAsia" w:ascii="宋体" w:hAnsi="宋体" w:eastAsia="宋体" w:cs="宋体"/>
                <w:color w:val="000000"/>
                <w:kern w:val="0"/>
                <w:sz w:val="24"/>
                <w:szCs w:val="24"/>
                <w:highlight w:val="none"/>
              </w:rPr>
              <w:t>经交易系统确认后，不再续做。</w:t>
            </w:r>
          </w:p>
          <w:p>
            <w:pPr>
              <w:widowControl/>
              <w:jc w:val="left"/>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3、巨额不再续做限制：在任一交易日内，如单品种当日累计不再续做委托订单总金额超过上一交易日该品种未到期余额的30%或不再续做委托订单总金额大于3000万元（含）时，即触发巨额不再续做情形。</w:t>
            </w:r>
            <w:r>
              <w:rPr>
                <w:rFonts w:hint="eastAsia" w:ascii="宋体" w:hAnsi="宋体" w:cs="宋体"/>
                <w:color w:val="000000"/>
                <w:kern w:val="0"/>
                <w:sz w:val="24"/>
                <w:highlight w:val="none"/>
              </w:rPr>
              <w:t>当出现巨额不再续做的情况，考虑到产品的流动性管理，</w:t>
            </w:r>
            <w:r>
              <w:rPr>
                <w:rFonts w:hint="eastAsia" w:ascii="宋体" w:hAnsi="宋体" w:cs="宋体"/>
                <w:color w:val="000000"/>
                <w:kern w:val="0"/>
                <w:sz w:val="24"/>
                <w:highlight w:val="none"/>
                <w:lang w:val="en-US" w:eastAsia="zh-CN"/>
              </w:rPr>
              <w:t>长江证券</w:t>
            </w:r>
            <w:r>
              <w:rPr>
                <w:rFonts w:hint="eastAsia" w:ascii="宋体" w:hAnsi="宋体" w:cs="宋体"/>
                <w:color w:val="000000"/>
                <w:kern w:val="0"/>
                <w:sz w:val="24"/>
                <w:highlight w:val="none"/>
              </w:rPr>
              <w:t>有权拒绝</w:t>
            </w:r>
            <w:r>
              <w:rPr>
                <w:rFonts w:hint="eastAsia" w:ascii="宋体" w:hAnsi="宋体" w:cs="宋体"/>
                <w:color w:val="000000"/>
                <w:kern w:val="0"/>
                <w:sz w:val="24"/>
                <w:highlight w:val="none"/>
                <w:lang w:val="en-US" w:eastAsia="zh-CN"/>
              </w:rPr>
              <w:t>客户</w:t>
            </w:r>
            <w:r>
              <w:rPr>
                <w:rFonts w:hint="eastAsia" w:ascii="宋体" w:hAnsi="宋体" w:cs="宋体"/>
                <w:color w:val="000000"/>
                <w:kern w:val="0"/>
                <w:sz w:val="24"/>
                <w:highlight w:val="none"/>
              </w:rPr>
              <w:t>的申请，不再续做的申请可能无法成功。如有巨额不再续做的订单，</w:t>
            </w:r>
            <w:r>
              <w:rPr>
                <w:rFonts w:hint="eastAsia" w:ascii="宋体" w:hAnsi="宋体" w:cs="宋体"/>
                <w:color w:val="000000"/>
                <w:kern w:val="0"/>
                <w:sz w:val="24"/>
                <w:highlight w:val="none"/>
                <w:lang w:val="en-US" w:eastAsia="zh-CN"/>
              </w:rPr>
              <w:t>客户</w:t>
            </w:r>
            <w:r>
              <w:rPr>
                <w:rFonts w:hint="eastAsia" w:ascii="宋体" w:hAnsi="宋体" w:cs="宋体"/>
                <w:color w:val="000000"/>
                <w:kern w:val="0"/>
                <w:sz w:val="24"/>
                <w:highlight w:val="none"/>
              </w:rPr>
              <w:t>应至少提前1个交易日申请取消自动续做。</w:t>
            </w:r>
          </w:p>
          <w:p>
            <w:pPr>
              <w:widowControl/>
              <w:jc w:val="left"/>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到期购回：产品到期时本金和利息自动返还客户账户中，T日可用，T+1日可取。到期购回无需提交委托指令</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br w:type="textWrapping"/>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、提前购回：支持全额或部分提前购回功能，客户可在</w:t>
            </w:r>
            <w:r>
              <w:rPr>
                <w:rFonts w:hint="eastAsia" w:ascii="宋体" w:hAnsi="宋体" w:cs="宋体"/>
                <w:color w:val="000000"/>
                <w:kern w:val="0"/>
                <w:sz w:val="24"/>
              </w:rPr>
              <w:t>初始交易日T日或续做日T日至到期购回日T-1日或下一续做日T-1日的9：15至14：30发起</w:t>
            </w:r>
            <w:r>
              <w:rPr>
                <w:rFonts w:hint="eastAsia" w:ascii="宋体" w:hAnsi="宋体" w:eastAsia="宋体" w:cs="宋体"/>
                <w:color w:val="000000"/>
                <w:kern w:val="0"/>
                <w:sz w:val="24"/>
                <w:szCs w:val="24"/>
              </w:rPr>
              <w:t>提前购回委</w:t>
            </w:r>
            <w:r>
              <w:rPr>
                <w:rFonts w:hint="eastAsia" w:ascii="宋体" w:hAnsi="宋体" w:eastAsia="宋体" w:cs="宋体"/>
                <w:color w:val="000000"/>
                <w:kern w:val="0"/>
                <w:sz w:val="24"/>
                <w:szCs w:val="24"/>
                <w:highlight w:val="none"/>
              </w:rPr>
              <w:t>托指令</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highlight w:val="none"/>
              </w:rPr>
              <w:t>其中11：30-13：00时间段只接收委托不作申报</w:t>
            </w:r>
            <w:r>
              <w:rPr>
                <w:rFonts w:hint="eastAsia" w:ascii="宋体" w:hAnsi="宋体" w:eastAsia="宋体" w:cs="宋体"/>
                <w:color w:val="000000"/>
                <w:kern w:val="0"/>
                <w:sz w:val="24"/>
                <w:szCs w:val="24"/>
                <w:highlight w:val="none"/>
              </w:rPr>
              <w:t>。</w:t>
            </w:r>
          </w:p>
          <w:p>
            <w:pPr>
              <w:widowControl/>
              <w:jc w:val="left"/>
              <w:rPr>
                <w:rFonts w:hint="eastAsia" w:ascii="宋体" w:hAnsi="宋体" w:cs="宋体"/>
                <w:color w:val="000000"/>
                <w:kern w:val="0"/>
                <w:sz w:val="24"/>
                <w:highlight w:val="none"/>
              </w:rPr>
            </w:pP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巨额提前购回限制：在任一交易日内，如所有品种当日累计提前购回委托订单总金额超过上一交易日所有品种未到期余额的30%时，或单一客户累计提前购回委托订单总金额超过3000万时，即</w:t>
            </w:r>
            <w:r>
              <w:rPr>
                <w:rFonts w:hint="eastAsia" w:ascii="宋体" w:hAnsi="宋体" w:cs="宋体"/>
                <w:color w:val="000000"/>
                <w:kern w:val="0"/>
                <w:sz w:val="24"/>
                <w:szCs w:val="24"/>
                <w:highlight w:val="none"/>
                <w:lang w:val="en-US" w:eastAsia="zh-CN"/>
              </w:rPr>
              <w:t>触发</w:t>
            </w:r>
            <w:r>
              <w:rPr>
                <w:rFonts w:hint="eastAsia" w:ascii="宋体" w:hAnsi="宋体" w:eastAsia="宋体" w:cs="宋体"/>
                <w:color w:val="000000"/>
                <w:kern w:val="0"/>
                <w:sz w:val="24"/>
                <w:szCs w:val="24"/>
                <w:highlight w:val="none"/>
              </w:rPr>
              <w:t>巨额提前购回</w:t>
            </w:r>
            <w:r>
              <w:rPr>
                <w:rFonts w:hint="eastAsia" w:ascii="宋体" w:hAnsi="宋体" w:cs="宋体"/>
                <w:color w:val="000000"/>
                <w:kern w:val="0"/>
                <w:sz w:val="24"/>
                <w:szCs w:val="24"/>
                <w:highlight w:val="none"/>
                <w:lang w:val="en-US" w:eastAsia="zh-CN"/>
              </w:rPr>
              <w:t>情形。</w:t>
            </w:r>
            <w:r>
              <w:rPr>
                <w:rFonts w:hint="eastAsia" w:ascii="宋体" w:hAnsi="宋体" w:cs="宋体"/>
                <w:color w:val="000000"/>
                <w:kern w:val="0"/>
                <w:sz w:val="24"/>
                <w:highlight w:val="none"/>
              </w:rPr>
              <w:t>当出现巨额提前购回的情况，考虑到产品的流动性管理，</w:t>
            </w:r>
            <w:r>
              <w:rPr>
                <w:rFonts w:hint="eastAsia" w:ascii="宋体" w:hAnsi="宋体" w:cs="宋体"/>
                <w:color w:val="000000"/>
                <w:kern w:val="0"/>
                <w:sz w:val="24"/>
                <w:highlight w:val="none"/>
                <w:lang w:val="en-US" w:eastAsia="zh-CN"/>
              </w:rPr>
              <w:t>长江证券</w:t>
            </w:r>
            <w:r>
              <w:rPr>
                <w:rFonts w:hint="eastAsia" w:ascii="宋体" w:hAnsi="宋体" w:cs="宋体"/>
                <w:color w:val="000000"/>
                <w:kern w:val="0"/>
                <w:sz w:val="24"/>
                <w:highlight w:val="none"/>
              </w:rPr>
              <w:t>有权拒绝</w:t>
            </w:r>
            <w:r>
              <w:rPr>
                <w:rFonts w:hint="eastAsia" w:ascii="宋体" w:hAnsi="宋体" w:cs="宋体"/>
                <w:color w:val="000000"/>
                <w:kern w:val="0"/>
                <w:sz w:val="24"/>
                <w:highlight w:val="none"/>
                <w:lang w:val="en-US" w:eastAsia="zh-CN"/>
              </w:rPr>
              <w:t>客户</w:t>
            </w:r>
            <w:r>
              <w:rPr>
                <w:rFonts w:hint="eastAsia" w:ascii="宋体" w:hAnsi="宋体" w:cs="宋体"/>
                <w:color w:val="000000"/>
                <w:kern w:val="0"/>
                <w:sz w:val="24"/>
                <w:highlight w:val="none"/>
              </w:rPr>
              <w:t>的申请，提前购回的申请可能无法成功。巨额提前购回实行预约制度，</w:t>
            </w:r>
            <w:r>
              <w:rPr>
                <w:rFonts w:hint="eastAsia" w:ascii="宋体" w:hAnsi="宋体" w:cs="宋体"/>
                <w:color w:val="000000"/>
                <w:kern w:val="0"/>
                <w:sz w:val="24"/>
                <w:highlight w:val="none"/>
                <w:lang w:val="en-US" w:eastAsia="zh-CN"/>
              </w:rPr>
              <w:t>客户</w:t>
            </w:r>
            <w:r>
              <w:rPr>
                <w:rFonts w:hint="eastAsia" w:ascii="宋体" w:hAnsi="宋体" w:cs="宋体"/>
                <w:color w:val="000000"/>
                <w:kern w:val="0"/>
                <w:sz w:val="24"/>
                <w:highlight w:val="none"/>
              </w:rPr>
              <w:t>需提前至少3个交易日向</w:t>
            </w:r>
            <w:r>
              <w:rPr>
                <w:rFonts w:hint="eastAsia" w:ascii="宋体" w:hAnsi="宋体" w:cs="宋体"/>
                <w:color w:val="000000"/>
                <w:kern w:val="0"/>
                <w:sz w:val="24"/>
                <w:highlight w:val="none"/>
                <w:lang w:val="en-US" w:eastAsia="zh-CN"/>
              </w:rPr>
              <w:t>长江证券</w:t>
            </w:r>
            <w:r>
              <w:rPr>
                <w:rFonts w:hint="eastAsia" w:ascii="宋体" w:hAnsi="宋体" w:cs="宋体"/>
                <w:color w:val="000000"/>
                <w:kern w:val="0"/>
                <w:sz w:val="24"/>
                <w:highlight w:val="none"/>
              </w:rPr>
              <w:t>申请预约提前购回。没有预约的巨额提前购回，</w:t>
            </w:r>
            <w:r>
              <w:rPr>
                <w:rFonts w:hint="eastAsia" w:ascii="宋体" w:hAnsi="宋体" w:cs="宋体"/>
                <w:color w:val="000000"/>
                <w:kern w:val="0"/>
                <w:sz w:val="24"/>
                <w:highlight w:val="none"/>
                <w:lang w:val="en-US" w:eastAsia="zh-CN"/>
              </w:rPr>
              <w:t>长江证券</w:t>
            </w:r>
            <w:r>
              <w:rPr>
                <w:rFonts w:hint="eastAsia" w:ascii="宋体" w:hAnsi="宋体" w:cs="宋体"/>
                <w:color w:val="000000"/>
                <w:kern w:val="0"/>
                <w:sz w:val="24"/>
                <w:highlight w:val="none"/>
              </w:rPr>
              <w:t>有权根据本协议不接受提前购回委托。</w:t>
            </w:r>
          </w:p>
          <w:p>
            <w:pPr>
              <w:widowControl/>
              <w:jc w:val="left"/>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7、客户可</w:t>
            </w:r>
            <w:r>
              <w:rPr>
                <w:rFonts w:hint="eastAsia" w:ascii="宋体" w:hAnsi="宋体" w:cs="宋体"/>
                <w:color w:val="000000"/>
                <w:kern w:val="0"/>
                <w:sz w:val="24"/>
                <w:highlight w:val="none"/>
              </w:rPr>
              <w:t>通过长江证券交易系统（长江e号、柜台委托等）</w:t>
            </w:r>
            <w:r>
              <w:rPr>
                <w:rFonts w:hint="eastAsia" w:ascii="宋体" w:hAnsi="宋体" w:cs="宋体"/>
                <w:color w:val="000000"/>
                <w:kern w:val="0"/>
                <w:sz w:val="24"/>
                <w:highlight w:val="none"/>
                <w:lang w:val="en-US" w:eastAsia="zh-CN"/>
              </w:rPr>
              <w:t>发起</w:t>
            </w:r>
            <w:r>
              <w:rPr>
                <w:rFonts w:hint="eastAsia" w:ascii="宋体" w:hAnsi="宋体" w:cs="宋体"/>
                <w:color w:val="000000"/>
                <w:kern w:val="0"/>
                <w:sz w:val="24"/>
                <w:highlight w:val="none"/>
              </w:rPr>
              <w:t>初始委托、续做委托、不再续做委托、提前购回委托以及预约提前购回委托</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具体填报的委托要素</w:t>
            </w:r>
            <w:r>
              <w:rPr>
                <w:rFonts w:hint="eastAsia" w:ascii="宋体" w:hAnsi="宋体" w:cs="宋体"/>
                <w:color w:val="000000"/>
                <w:kern w:val="0"/>
                <w:sz w:val="24"/>
                <w:highlight w:val="none"/>
              </w:rPr>
              <w:t>包括但不限于证券账户、交易代码、交易类型、委托日期、委托数量、委托价格等系列内容</w:t>
            </w:r>
            <w:r>
              <w:rPr>
                <w:rFonts w:hint="eastAsia" w:ascii="宋体" w:hAnsi="宋体" w:cs="宋体"/>
                <w:color w:val="000000"/>
                <w:kern w:val="0"/>
                <w:sz w:val="24"/>
                <w:highlight w:val="none"/>
                <w:lang w:eastAsia="zh-CN"/>
              </w:rPr>
              <w:t>。</w:t>
            </w:r>
          </w:p>
          <w:p>
            <w:pPr>
              <w:widowControl/>
              <w:jc w:val="left"/>
              <w:rPr>
                <w:rFonts w:hint="eastAsia" w:ascii="宋体" w:hAnsi="宋体" w:eastAsia="宋体" w:cs="宋体"/>
                <w:color w:val="000000"/>
                <w:kern w:val="0"/>
                <w:sz w:val="24"/>
                <w:szCs w:val="24"/>
                <w:highlight w:val="yellow"/>
              </w:rPr>
            </w:pPr>
          </w:p>
        </w:tc>
      </w:tr>
      <w:tr>
        <w:tblPrEx>
          <w:tblCellMar>
            <w:top w:w="0" w:type="dxa"/>
            <w:left w:w="108" w:type="dxa"/>
            <w:bottom w:w="0" w:type="dxa"/>
            <w:right w:w="108" w:type="dxa"/>
          </w:tblCellMar>
        </w:tblPrEx>
        <w:trPr>
          <w:trHeight w:val="90" w:hRule="atLeast"/>
        </w:trPr>
        <w:tc>
          <w:tcPr>
            <w:tcW w:w="9760" w:type="dxa"/>
            <w:gridSpan w:val="2"/>
            <w:tcBorders>
              <w:top w:val="single" w:color="auto" w:sz="4" w:space="0"/>
              <w:left w:val="single" w:color="auto" w:sz="4" w:space="0"/>
              <w:bottom w:val="nil"/>
              <w:right w:val="single" w:color="000000" w:sz="4" w:space="0"/>
            </w:tcBorders>
            <w:noWrap w:val="0"/>
            <w:vAlign w:val="center"/>
          </w:tcPr>
          <w:p>
            <w:pPr>
              <w:widowControl/>
              <w:jc w:val="left"/>
              <w:rPr>
                <w:rFonts w:ascii="Times New Roman" w:hAnsi="Times New Roman" w:eastAsia="楷体" w:cs="Times New Roman"/>
                <w:b/>
                <w:bCs/>
                <w:color w:val="000000"/>
                <w:kern w:val="0"/>
                <w:sz w:val="24"/>
                <w:szCs w:val="24"/>
              </w:rPr>
            </w:pPr>
            <w:r>
              <w:rPr>
                <w:rFonts w:ascii="Times New Roman" w:hAnsi="Times New Roman" w:eastAsia="楷体" w:cs="Times New Roman"/>
                <w:b/>
                <w:bCs/>
                <w:color w:val="000000"/>
                <w:kern w:val="0"/>
                <w:sz w:val="32"/>
                <w:szCs w:val="32"/>
              </w:rPr>
              <w:t>客户的收益</w:t>
            </w:r>
            <w:r>
              <w:rPr>
                <w:rFonts w:hint="eastAsia" w:ascii="Times New Roman" w:hAnsi="Times New Roman" w:eastAsia="楷体" w:cs="Times New Roman"/>
                <w:b/>
                <w:bCs/>
                <w:color w:val="000000"/>
                <w:kern w:val="0"/>
                <w:sz w:val="32"/>
                <w:szCs w:val="32"/>
                <w:lang w:val="en-US" w:eastAsia="zh-CN"/>
              </w:rPr>
              <w:t>与交易费用</w:t>
            </w:r>
            <w:r>
              <w:rPr>
                <w:rFonts w:ascii="Times New Roman" w:hAnsi="Times New Roman" w:eastAsia="楷体" w:cs="Times New Roman"/>
                <w:b/>
                <w:bCs/>
                <w:color w:val="000000"/>
                <w:kern w:val="0"/>
                <w:sz w:val="32"/>
                <w:szCs w:val="32"/>
              </w:rPr>
              <w:t>如何计算？</w:t>
            </w:r>
          </w:p>
        </w:tc>
      </w:tr>
      <w:tr>
        <w:tblPrEx>
          <w:tblCellMar>
            <w:top w:w="0" w:type="dxa"/>
            <w:left w:w="108" w:type="dxa"/>
            <w:bottom w:w="0" w:type="dxa"/>
            <w:right w:w="108" w:type="dxa"/>
          </w:tblCellMar>
        </w:tblPrEx>
        <w:trPr>
          <w:trHeight w:val="3456" w:hRule="atLeast"/>
        </w:trPr>
        <w:tc>
          <w:tcPr>
            <w:tcW w:w="9760" w:type="dxa"/>
            <w:gridSpan w:val="2"/>
            <w:tcBorders>
              <w:top w:val="nil"/>
              <w:left w:val="single" w:color="auto" w:sz="4" w:space="0"/>
              <w:bottom w:val="nil"/>
              <w:right w:val="single" w:color="000000" w:sz="4" w:space="0"/>
            </w:tcBorders>
            <w:noWrap w:val="0"/>
            <w:vAlign w:val="center"/>
          </w:tcPr>
          <w:p>
            <w:pPr>
              <w:widowControl/>
              <w:numPr>
                <w:ilvl w:val="0"/>
                <w:numId w:val="0"/>
              </w:numPr>
              <w:jc w:val="left"/>
              <w:rPr>
                <w:rFonts w:hint="eastAsia" w:ascii="楷体" w:hAnsi="楷体" w:eastAsia="楷体" w:cs="楷体"/>
                <w:b/>
                <w:bCs/>
                <w:color w:val="000000"/>
                <w:kern w:val="0"/>
                <w:sz w:val="24"/>
                <w:szCs w:val="24"/>
                <w:lang w:val="en-US" w:eastAsia="zh-CN"/>
              </w:rPr>
            </w:pPr>
            <w:r>
              <w:rPr>
                <w:rFonts w:hint="eastAsia" w:ascii="楷体" w:hAnsi="楷体" w:eastAsia="楷体" w:cs="楷体"/>
                <w:b/>
                <w:bCs/>
                <w:color w:val="000000"/>
                <w:kern w:val="0"/>
                <w:sz w:val="24"/>
                <w:szCs w:val="24"/>
                <w:lang w:val="en-US" w:eastAsia="zh-CN"/>
              </w:rPr>
              <w:t>客户收益：</w:t>
            </w:r>
          </w:p>
          <w:p>
            <w:pPr>
              <w:widowControl/>
              <w:numPr>
                <w:ilvl w:val="0"/>
                <w:numId w:val="0"/>
              </w:numPr>
              <w:jc w:val="left"/>
              <w:rPr>
                <w:rFonts w:hint="eastAsia" w:ascii="宋体" w:hAnsi="宋体" w:cs="宋体"/>
                <w:color w:val="000000"/>
                <w:kern w:val="0"/>
                <w:sz w:val="24"/>
              </w:rPr>
            </w:pPr>
            <w:r>
              <w:rPr>
                <w:rFonts w:hint="eastAsia" w:ascii="宋体" w:hAnsi="宋体" w:cs="宋体"/>
                <w:color w:val="000000"/>
                <w:kern w:val="0"/>
                <w:sz w:val="24"/>
              </w:rPr>
              <w:t xml:space="preserve">1、初始交易金额 = 初始交易数量 × 100； </w:t>
            </w:r>
          </w:p>
          <w:p>
            <w:pPr>
              <w:widowControl/>
              <w:numPr>
                <w:ilvl w:val="0"/>
                <w:numId w:val="0"/>
              </w:numPr>
              <w:jc w:val="left"/>
              <w:rPr>
                <w:rFonts w:hint="eastAsia" w:ascii="宋体" w:hAnsi="宋体" w:cs="宋体"/>
                <w:color w:val="000000"/>
                <w:kern w:val="0"/>
                <w:sz w:val="24"/>
              </w:rPr>
            </w:pPr>
            <w:r>
              <w:rPr>
                <w:rFonts w:hint="eastAsia" w:ascii="宋体" w:hAnsi="宋体" w:cs="宋体"/>
                <w:color w:val="000000"/>
                <w:kern w:val="0"/>
                <w:sz w:val="24"/>
              </w:rPr>
              <w:t>2、提前购回金额 = 提前购回成交数量×（100 + 提前购回交易成交价格× 实际回购天数/365）。实际回购天数=提前购回成交日对应的资金划付日-初始交易成交日对应的资金划付日；</w:t>
            </w:r>
          </w:p>
          <w:p>
            <w:pPr>
              <w:widowControl/>
              <w:numPr>
                <w:ilvl w:val="0"/>
                <w:numId w:val="0"/>
              </w:numPr>
              <w:jc w:val="left"/>
              <w:rPr>
                <w:rFonts w:hint="eastAsia" w:ascii="宋体" w:hAnsi="宋体" w:cs="宋体"/>
                <w:color w:val="000000"/>
                <w:kern w:val="0"/>
                <w:sz w:val="24"/>
              </w:rPr>
            </w:pPr>
            <w:r>
              <w:rPr>
                <w:rFonts w:hint="eastAsia" w:ascii="宋体" w:hAnsi="宋体" w:cs="宋体"/>
                <w:color w:val="000000"/>
                <w:kern w:val="0"/>
                <w:sz w:val="24"/>
              </w:rPr>
              <w:t>3、到期购回金额 = 剩余成交数量×（100 + 初始交易成交价格× 实际回购天数 / 365）。剩余成交数量为，到期购回日该笔交易的初始交易成交数量减去对应的提前购回成交数量后的余量；实际回购天数=到期购回日对应的资金划付日-初始交易成交日对应的资金划付日。</w:t>
            </w:r>
          </w:p>
          <w:p>
            <w:pPr>
              <w:widowControl/>
              <w:numPr>
                <w:ilvl w:val="0"/>
                <w:numId w:val="0"/>
              </w:numPr>
              <w:jc w:val="left"/>
              <w:rPr>
                <w:rFonts w:hint="eastAsia" w:ascii="楷体" w:hAnsi="楷体" w:eastAsia="楷体" w:cs="楷体"/>
                <w:b/>
                <w:bCs/>
                <w:color w:val="000000"/>
                <w:kern w:val="0"/>
                <w:sz w:val="24"/>
                <w:szCs w:val="24"/>
                <w:lang w:val="en-US" w:eastAsia="zh-CN"/>
              </w:rPr>
            </w:pPr>
            <w:r>
              <w:rPr>
                <w:rFonts w:hint="eastAsia" w:ascii="宋体" w:hAnsi="宋体" w:cs="宋体"/>
                <w:color w:val="000000"/>
                <w:kern w:val="0"/>
                <w:sz w:val="24"/>
              </w:rPr>
              <w:t>到期/提前购回日为非交易日的，到期/提前购回日后的第一个交易日为到期/提前购回日。</w:t>
            </w:r>
            <w:r>
              <w:rPr>
                <w:rFonts w:hint="eastAsia" w:ascii="楷体" w:hAnsi="楷体" w:eastAsia="楷体" w:cs="楷体"/>
                <w:b/>
                <w:bCs/>
                <w:color w:val="000000"/>
                <w:kern w:val="0"/>
                <w:sz w:val="24"/>
                <w:szCs w:val="24"/>
                <w:lang w:val="en-US" w:eastAsia="zh-CN"/>
              </w:rPr>
              <w:t>交易费用：</w:t>
            </w:r>
          </w:p>
          <w:p>
            <w:pPr>
              <w:widowControl/>
              <w:numPr>
                <w:ilvl w:val="0"/>
                <w:numId w:val="0"/>
              </w:numPr>
              <w:jc w:val="left"/>
              <w:rPr>
                <w:rFonts w:ascii="Times New Roman" w:hAnsi="Times New Roman" w:eastAsia="楷体" w:cs="Times New Roman"/>
                <w:color w:val="000000"/>
                <w:kern w:val="0"/>
                <w:sz w:val="24"/>
                <w:szCs w:val="24"/>
              </w:rPr>
            </w:pPr>
            <w:r>
              <w:rPr>
                <w:rFonts w:hint="eastAsia" w:ascii="宋体" w:hAnsi="宋体" w:eastAsia="宋体" w:cs="宋体"/>
                <w:color w:val="000000"/>
                <w:kern w:val="0"/>
                <w:sz w:val="24"/>
                <w:szCs w:val="24"/>
                <w:highlight w:val="none"/>
                <w:lang w:val="en-US" w:eastAsia="zh-CN"/>
              </w:rPr>
              <w:t>长江</w:t>
            </w:r>
            <w:r>
              <w:rPr>
                <w:rFonts w:hint="eastAsia" w:ascii="宋体" w:hAnsi="宋体" w:eastAsia="宋体" w:cs="宋体"/>
                <w:color w:val="000000"/>
                <w:kern w:val="0"/>
                <w:sz w:val="24"/>
                <w:szCs w:val="24"/>
                <w:highlight w:val="none"/>
              </w:rPr>
              <w:t>证券暂不就</w:t>
            </w:r>
            <w:r>
              <w:rPr>
                <w:rFonts w:hint="eastAsia" w:ascii="宋体" w:hAnsi="宋体" w:cs="宋体"/>
                <w:color w:val="000000"/>
                <w:kern w:val="0"/>
                <w:sz w:val="24"/>
                <w:szCs w:val="24"/>
                <w:highlight w:val="none"/>
                <w:lang w:val="en-US" w:eastAsia="zh-CN"/>
              </w:rPr>
              <w:t>深圳</w:t>
            </w:r>
            <w:r>
              <w:rPr>
                <w:rFonts w:hint="eastAsia" w:ascii="宋体" w:hAnsi="宋体" w:eastAsia="宋体" w:cs="宋体"/>
                <w:color w:val="000000"/>
                <w:kern w:val="0"/>
                <w:sz w:val="24"/>
                <w:szCs w:val="24"/>
                <w:highlight w:val="none"/>
              </w:rPr>
              <w:t>报价回购业务向客户</w:t>
            </w:r>
            <w:r>
              <w:rPr>
                <w:rFonts w:hint="eastAsia" w:ascii="宋体" w:hAnsi="宋体" w:cs="宋体"/>
                <w:color w:val="000000"/>
                <w:kern w:val="0"/>
                <w:sz w:val="24"/>
                <w:szCs w:val="24"/>
                <w:highlight w:val="none"/>
                <w:lang w:val="en-US" w:eastAsia="zh-CN"/>
              </w:rPr>
              <w:t>单独</w:t>
            </w:r>
            <w:r>
              <w:rPr>
                <w:rFonts w:hint="eastAsia" w:ascii="宋体" w:hAnsi="宋体" w:eastAsia="宋体" w:cs="宋体"/>
                <w:color w:val="000000"/>
                <w:kern w:val="0"/>
                <w:sz w:val="24"/>
                <w:szCs w:val="24"/>
                <w:highlight w:val="none"/>
              </w:rPr>
              <w:t>收取佣金或交易费用。</w:t>
            </w:r>
          </w:p>
        </w:tc>
      </w:tr>
      <w:tr>
        <w:tblPrEx>
          <w:tblCellMar>
            <w:top w:w="0" w:type="dxa"/>
            <w:left w:w="108" w:type="dxa"/>
            <w:bottom w:w="0" w:type="dxa"/>
            <w:right w:w="108" w:type="dxa"/>
          </w:tblCellMar>
        </w:tblPrEx>
        <w:trPr>
          <w:trHeight w:val="756" w:hRule="atLeast"/>
        </w:trPr>
        <w:tc>
          <w:tcPr>
            <w:tcW w:w="9760" w:type="dxa"/>
            <w:gridSpan w:val="2"/>
            <w:tcBorders>
              <w:top w:val="single" w:color="auto" w:sz="4" w:space="0"/>
              <w:left w:val="single" w:color="auto" w:sz="4" w:space="0"/>
              <w:bottom w:val="nil"/>
              <w:right w:val="single" w:color="000000" w:sz="4" w:space="0"/>
            </w:tcBorders>
            <w:noWrap w:val="0"/>
            <w:vAlign w:val="center"/>
          </w:tcPr>
          <w:p>
            <w:pPr>
              <w:widowControl/>
              <w:jc w:val="left"/>
              <w:rPr>
                <w:rFonts w:ascii="Times New Roman" w:hAnsi="Times New Roman" w:eastAsia="楷体" w:cs="Times New Roman"/>
                <w:b/>
                <w:bCs/>
                <w:color w:val="000000"/>
                <w:kern w:val="0"/>
                <w:sz w:val="24"/>
                <w:szCs w:val="24"/>
              </w:rPr>
            </w:pPr>
            <w:r>
              <w:rPr>
                <w:rFonts w:ascii="Times New Roman" w:hAnsi="Times New Roman" w:eastAsia="楷体" w:cs="Times New Roman"/>
                <w:b/>
                <w:bCs/>
                <w:color w:val="000000"/>
                <w:kern w:val="0"/>
                <w:sz w:val="32"/>
                <w:szCs w:val="32"/>
              </w:rPr>
              <w:t>有何种担保品？</w:t>
            </w:r>
          </w:p>
        </w:tc>
      </w:tr>
      <w:tr>
        <w:tblPrEx>
          <w:tblCellMar>
            <w:top w:w="0" w:type="dxa"/>
            <w:left w:w="108" w:type="dxa"/>
            <w:bottom w:w="0" w:type="dxa"/>
            <w:right w:w="108" w:type="dxa"/>
          </w:tblCellMar>
        </w:tblPrEx>
        <w:trPr>
          <w:trHeight w:val="1999" w:hRule="atLeast"/>
        </w:trPr>
        <w:tc>
          <w:tcPr>
            <w:tcW w:w="9760" w:type="dxa"/>
            <w:gridSpan w:val="2"/>
            <w:tcBorders>
              <w:top w:val="nil"/>
              <w:left w:val="single" w:color="auto" w:sz="4" w:space="0"/>
              <w:bottom w:val="single" w:color="auto"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长江</w:t>
            </w:r>
            <w:r>
              <w:rPr>
                <w:rFonts w:hint="eastAsia" w:ascii="宋体" w:hAnsi="宋体" w:eastAsia="宋体" w:cs="宋体"/>
                <w:color w:val="000000"/>
                <w:kern w:val="0"/>
                <w:sz w:val="24"/>
                <w:szCs w:val="24"/>
              </w:rPr>
              <w:t>证券提交以下自有资产作为质押物，每类质押物标准券折算率的确定方式为：</w:t>
            </w:r>
          </w:p>
          <w:p>
            <w:pPr>
              <w:widowControl/>
              <w:numPr>
                <w:ilvl w:val="0"/>
                <w:numId w:val="1"/>
              </w:numPr>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符合深交所债券质押式回购交易相关规定的债券：标准券折算率适用《标准券折算率管理办法》；</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（2）基金份额：</w:t>
            </w:r>
            <w:r>
              <w:rPr>
                <w:rFonts w:hint="eastAsia" w:ascii="宋体" w:hAnsi="宋体" w:cs="宋体"/>
                <w:color w:val="000000"/>
                <w:kern w:val="0"/>
                <w:sz w:val="24"/>
                <w:szCs w:val="24"/>
                <w:lang w:val="en-US" w:eastAsia="zh-CN"/>
              </w:rPr>
              <w:t>折算率</w:t>
            </w:r>
            <w:r>
              <w:rPr>
                <w:rFonts w:hint="eastAsia" w:ascii="宋体" w:hAnsi="宋体"/>
                <w:color w:val="000000"/>
                <w:sz w:val="24"/>
                <w:szCs w:val="24"/>
              </w:rPr>
              <w:t>由</w:t>
            </w:r>
            <w:r>
              <w:rPr>
                <w:rFonts w:hint="eastAsia" w:ascii="宋体" w:hAnsi="宋体"/>
                <w:color w:val="000000"/>
                <w:sz w:val="24"/>
                <w:szCs w:val="24"/>
                <w:lang w:val="en-US" w:eastAsia="zh-CN"/>
              </w:rPr>
              <w:t>长江证券聘请</w:t>
            </w:r>
            <w:r>
              <w:rPr>
                <w:rFonts w:hint="eastAsia" w:ascii="宋体" w:hAnsi="宋体"/>
                <w:color w:val="000000"/>
                <w:sz w:val="24"/>
                <w:szCs w:val="24"/>
              </w:rPr>
              <w:t>深交所认可的第三方</w:t>
            </w:r>
            <w:r>
              <w:rPr>
                <w:rFonts w:hint="eastAsia" w:ascii="宋体" w:hAnsi="宋体"/>
                <w:color w:val="000000"/>
                <w:sz w:val="24"/>
                <w:szCs w:val="24"/>
                <w:lang w:val="en-US" w:eastAsia="zh-CN"/>
              </w:rPr>
              <w:t>机构</w:t>
            </w:r>
            <w:r>
              <w:rPr>
                <w:rFonts w:hint="eastAsia" w:ascii="宋体" w:hAnsi="宋体"/>
                <w:color w:val="000000"/>
                <w:sz w:val="24"/>
                <w:szCs w:val="24"/>
              </w:rPr>
              <w:t>提供的独立方案</w:t>
            </w:r>
            <w:r>
              <w:rPr>
                <w:rFonts w:hint="eastAsia" w:ascii="宋体" w:hAnsi="宋体"/>
                <w:color w:val="000000"/>
                <w:sz w:val="24"/>
                <w:szCs w:val="24"/>
                <w:lang w:val="en-US" w:eastAsia="zh-CN"/>
              </w:rPr>
              <w:t>所</w:t>
            </w:r>
            <w:r>
              <w:rPr>
                <w:rFonts w:hint="eastAsia" w:ascii="宋体" w:hAnsi="宋体"/>
                <w:color w:val="000000"/>
                <w:sz w:val="24"/>
                <w:szCs w:val="24"/>
              </w:rPr>
              <w:t>确定</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（3）深交所和中国结算认可的其他证券：由长江证券聘请的经深交所认可的第三方机构进行质押物类型、折算率评估</w:t>
            </w:r>
            <w:r>
              <w:rPr>
                <w:rFonts w:hint="eastAsia" w:ascii="宋体" w:hAnsi="宋体" w:cs="宋体"/>
                <w:color w:val="000000"/>
                <w:kern w:val="0"/>
                <w:sz w:val="24"/>
                <w:szCs w:val="24"/>
                <w:lang w:eastAsia="zh-CN"/>
              </w:rPr>
              <w:t>；</w:t>
            </w:r>
          </w:p>
          <w:p>
            <w:pPr>
              <w:widowControl/>
              <w:numPr>
                <w:ilvl w:val="0"/>
                <w:numId w:val="0"/>
              </w:numPr>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现金：标准券折算率为1</w:t>
            </w:r>
            <w:r>
              <w:rPr>
                <w:rFonts w:hint="eastAsia" w:ascii="宋体" w:hAnsi="宋体" w:cs="宋体"/>
                <w:color w:val="000000"/>
                <w:kern w:val="0"/>
                <w:sz w:val="24"/>
                <w:lang w:eastAsia="zh-CN"/>
              </w:rPr>
              <w:t>。</w:t>
            </w:r>
          </w:p>
        </w:tc>
      </w:tr>
      <w:tr>
        <w:tblPrEx>
          <w:tblCellMar>
            <w:top w:w="0" w:type="dxa"/>
            <w:left w:w="108" w:type="dxa"/>
            <w:bottom w:w="0" w:type="dxa"/>
            <w:right w:w="108" w:type="dxa"/>
          </w:tblCellMar>
        </w:tblPrEx>
        <w:trPr>
          <w:trHeight w:val="900" w:hRule="atLeast"/>
        </w:trPr>
        <w:tc>
          <w:tcPr>
            <w:tcW w:w="9760" w:type="dxa"/>
            <w:gridSpan w:val="2"/>
            <w:tcBorders>
              <w:top w:val="single" w:color="auto" w:sz="4" w:space="0"/>
              <w:left w:val="single" w:color="auto" w:sz="4" w:space="0"/>
              <w:bottom w:val="nil"/>
              <w:right w:val="single" w:color="000000" w:sz="4" w:space="0"/>
            </w:tcBorders>
            <w:noWrap w:val="0"/>
            <w:vAlign w:val="center"/>
          </w:tcPr>
          <w:p>
            <w:pPr>
              <w:widowControl/>
              <w:jc w:val="left"/>
              <w:rPr>
                <w:rFonts w:ascii="Times New Roman" w:hAnsi="Times New Roman" w:eastAsia="楷体" w:cs="Times New Roman"/>
                <w:b/>
                <w:bCs/>
                <w:color w:val="000000"/>
                <w:kern w:val="0"/>
                <w:sz w:val="24"/>
                <w:szCs w:val="24"/>
                <w:highlight w:val="none"/>
              </w:rPr>
            </w:pPr>
            <w:r>
              <w:rPr>
                <w:rFonts w:ascii="Times New Roman" w:hAnsi="Times New Roman" w:eastAsia="楷体" w:cs="Times New Roman"/>
                <w:b/>
                <w:bCs/>
                <w:color w:val="000000"/>
                <w:kern w:val="0"/>
                <w:sz w:val="32"/>
                <w:szCs w:val="32"/>
                <w:highlight w:val="none"/>
              </w:rPr>
              <w:t>客户如何获得产品的后续信息？</w:t>
            </w:r>
          </w:p>
        </w:tc>
      </w:tr>
      <w:tr>
        <w:tblPrEx>
          <w:tblCellMar>
            <w:top w:w="0" w:type="dxa"/>
            <w:left w:w="108" w:type="dxa"/>
            <w:bottom w:w="0" w:type="dxa"/>
            <w:right w:w="108" w:type="dxa"/>
          </w:tblCellMar>
        </w:tblPrEx>
        <w:trPr>
          <w:trHeight w:val="1392" w:hRule="atLeast"/>
        </w:trPr>
        <w:tc>
          <w:tcPr>
            <w:tcW w:w="9760" w:type="dxa"/>
            <w:gridSpan w:val="2"/>
            <w:tcBorders>
              <w:top w:val="nil"/>
              <w:left w:val="single" w:color="auto" w:sz="4" w:space="0"/>
              <w:bottom w:val="nil"/>
              <w:right w:val="single" w:color="000000" w:sz="4" w:space="0"/>
            </w:tcBorders>
            <w:noWrap w:val="0"/>
            <w:vAlign w:val="center"/>
          </w:tcPr>
          <w:p>
            <w:pPr>
              <w:widowControl/>
              <w:numPr>
                <w:ilvl w:val="0"/>
                <w:numId w:val="2"/>
              </w:numPr>
              <w:jc w:val="left"/>
              <w:rPr>
                <w:rFonts w:hint="eastAsia" w:ascii="宋体" w:hAnsi="宋体" w:cs="宋体"/>
                <w:color w:val="000000"/>
                <w:kern w:val="0"/>
                <w:sz w:val="24"/>
                <w:highlight w:val="none"/>
                <w:lang w:eastAsia="zh-CN"/>
              </w:rPr>
            </w:pPr>
            <w:r>
              <w:rPr>
                <w:rFonts w:hint="eastAsia" w:ascii="宋体" w:hAnsi="宋体" w:cs="宋体"/>
                <w:color w:val="000000"/>
                <w:kern w:val="0"/>
                <w:sz w:val="24"/>
                <w:szCs w:val="24"/>
                <w:highlight w:val="none"/>
                <w:lang w:val="en-US" w:eastAsia="zh-CN"/>
              </w:rPr>
              <w:t>长江证券于每个交易日9：15前</w:t>
            </w:r>
            <w:r>
              <w:rPr>
                <w:rFonts w:hint="eastAsia" w:ascii="宋体" w:hAnsi="宋体" w:cs="宋体"/>
                <w:color w:val="000000"/>
                <w:kern w:val="0"/>
                <w:sz w:val="24"/>
                <w:highlight w:val="none"/>
              </w:rPr>
              <w:t>在交易系统</w:t>
            </w:r>
            <w:r>
              <w:rPr>
                <w:rFonts w:hint="eastAsia" w:ascii="宋体" w:hAnsi="宋体" w:cs="宋体"/>
                <w:color w:val="000000"/>
                <w:kern w:val="0"/>
                <w:sz w:val="24"/>
                <w:highlight w:val="none"/>
                <w:lang w:val="en-US" w:eastAsia="zh-CN"/>
              </w:rPr>
              <w:t>和公司网站</w:t>
            </w:r>
            <w:r>
              <w:rPr>
                <w:rFonts w:hint="eastAsia" w:ascii="宋体" w:hAnsi="宋体" w:cs="宋体"/>
                <w:color w:val="000000"/>
                <w:kern w:val="0"/>
                <w:sz w:val="24"/>
                <w:highlight w:val="none"/>
              </w:rPr>
              <w:t>中更新报价回购产品相关信息</w:t>
            </w:r>
            <w:r>
              <w:rPr>
                <w:rFonts w:hint="eastAsia" w:ascii="宋体" w:hAnsi="宋体" w:cs="宋体"/>
                <w:color w:val="000000"/>
                <w:kern w:val="0"/>
                <w:sz w:val="24"/>
                <w:highlight w:val="none"/>
                <w:lang w:eastAsia="zh-CN"/>
              </w:rPr>
              <w:t>；</w:t>
            </w:r>
          </w:p>
          <w:p>
            <w:pPr>
              <w:widowControl/>
              <w:numPr>
                <w:ilvl w:val="0"/>
                <w:numId w:val="2"/>
              </w:num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客户可通过</w:t>
            </w:r>
            <w:r>
              <w:rPr>
                <w:rFonts w:hint="eastAsia" w:ascii="宋体" w:hAnsi="宋体" w:eastAsia="宋体" w:cs="宋体"/>
                <w:color w:val="000000"/>
                <w:kern w:val="0"/>
                <w:sz w:val="24"/>
                <w:szCs w:val="24"/>
                <w:highlight w:val="none"/>
                <w:lang w:val="en-US" w:eastAsia="zh-CN"/>
              </w:rPr>
              <w:t>长江</w:t>
            </w:r>
            <w:r>
              <w:rPr>
                <w:rFonts w:hint="eastAsia" w:ascii="宋体" w:hAnsi="宋体" w:eastAsia="宋体" w:cs="宋体"/>
                <w:color w:val="000000"/>
                <w:kern w:val="0"/>
                <w:sz w:val="24"/>
                <w:szCs w:val="24"/>
                <w:highlight w:val="none"/>
              </w:rPr>
              <w:t>证券官网报价回购专栏，查询报价回购业务规则</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业务流程、常见问题等信息；</w:t>
            </w:r>
          </w:p>
          <w:p>
            <w:pPr>
              <w:widowControl/>
              <w:jc w:val="left"/>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客户可通过</w:t>
            </w:r>
            <w:r>
              <w:rPr>
                <w:rFonts w:hint="eastAsia" w:ascii="宋体" w:hAnsi="宋体" w:eastAsia="宋体" w:cs="宋体"/>
                <w:color w:val="000000"/>
                <w:kern w:val="0"/>
                <w:sz w:val="24"/>
                <w:szCs w:val="24"/>
                <w:highlight w:val="none"/>
                <w:lang w:val="en-US" w:eastAsia="zh-CN"/>
              </w:rPr>
              <w:t>长江e号</w:t>
            </w:r>
            <w:r>
              <w:rPr>
                <w:rFonts w:hint="eastAsia" w:ascii="宋体" w:hAnsi="宋体" w:eastAsia="宋体" w:cs="宋体"/>
                <w:color w:val="000000"/>
                <w:kern w:val="0"/>
                <w:sz w:val="24"/>
                <w:szCs w:val="24"/>
                <w:highlight w:val="none"/>
              </w:rPr>
              <w:t xml:space="preserve"> APP 查询交易流水、持仓信息、产品公告</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产品额度</w:t>
            </w:r>
            <w:r>
              <w:rPr>
                <w:rFonts w:hint="eastAsia" w:ascii="宋体" w:hAnsi="宋体" w:eastAsia="宋体" w:cs="宋体"/>
                <w:color w:val="000000"/>
                <w:kern w:val="0"/>
                <w:sz w:val="24"/>
                <w:szCs w:val="24"/>
                <w:highlight w:val="none"/>
              </w:rPr>
              <w:t>等信息</w:t>
            </w:r>
            <w:r>
              <w:rPr>
                <w:rFonts w:hint="eastAsia" w:ascii="宋体" w:hAnsi="宋体" w:cs="宋体"/>
                <w:color w:val="000000"/>
                <w:kern w:val="0"/>
                <w:sz w:val="24"/>
                <w:szCs w:val="24"/>
                <w:highlight w:val="none"/>
                <w:lang w:eastAsia="zh-CN"/>
              </w:rPr>
              <w:t>。</w:t>
            </w:r>
          </w:p>
          <w:p>
            <w:pPr>
              <w:widowControl/>
              <w:jc w:val="left"/>
              <w:rPr>
                <w:rFonts w:ascii="Times New Roman" w:hAnsi="Times New Roman" w:eastAsia="楷体" w:cs="Times New Roman"/>
                <w:color w:val="000000"/>
                <w:kern w:val="0"/>
                <w:sz w:val="24"/>
                <w:szCs w:val="24"/>
                <w:highlight w:val="none"/>
              </w:rPr>
            </w:pPr>
          </w:p>
        </w:tc>
      </w:tr>
      <w:tr>
        <w:tblPrEx>
          <w:tblCellMar>
            <w:top w:w="0" w:type="dxa"/>
            <w:left w:w="108" w:type="dxa"/>
            <w:bottom w:w="0" w:type="dxa"/>
            <w:right w:w="108" w:type="dxa"/>
          </w:tblCellMar>
        </w:tblPrEx>
        <w:trPr>
          <w:trHeight w:val="600" w:hRule="atLeast"/>
        </w:trPr>
        <w:tc>
          <w:tcPr>
            <w:tcW w:w="9760" w:type="dxa"/>
            <w:gridSpan w:val="2"/>
            <w:tcBorders>
              <w:top w:val="single" w:color="auto" w:sz="4" w:space="0"/>
              <w:left w:val="single" w:color="auto" w:sz="4" w:space="0"/>
              <w:bottom w:val="nil"/>
              <w:right w:val="single" w:color="000000" w:sz="4" w:space="0"/>
            </w:tcBorders>
            <w:noWrap w:val="0"/>
            <w:vAlign w:val="center"/>
          </w:tcPr>
          <w:p>
            <w:pPr>
              <w:widowControl/>
              <w:jc w:val="left"/>
              <w:rPr>
                <w:rFonts w:ascii="Times New Roman" w:hAnsi="Times New Roman" w:eastAsia="楷体" w:cs="Times New Roman"/>
                <w:b/>
                <w:bCs/>
                <w:color w:val="000000"/>
                <w:kern w:val="0"/>
                <w:sz w:val="24"/>
                <w:szCs w:val="24"/>
              </w:rPr>
            </w:pPr>
            <w:r>
              <w:rPr>
                <w:rFonts w:ascii="Times New Roman" w:hAnsi="Times New Roman" w:eastAsia="楷体" w:cs="Times New Roman"/>
                <w:b/>
                <w:bCs/>
                <w:color w:val="000000"/>
                <w:kern w:val="0"/>
                <w:sz w:val="32"/>
                <w:szCs w:val="32"/>
              </w:rPr>
              <w:t>联系我们</w:t>
            </w:r>
          </w:p>
        </w:tc>
      </w:tr>
      <w:tr>
        <w:tblPrEx>
          <w:tblCellMar>
            <w:top w:w="0" w:type="dxa"/>
            <w:left w:w="108" w:type="dxa"/>
            <w:bottom w:w="0" w:type="dxa"/>
            <w:right w:w="108" w:type="dxa"/>
          </w:tblCellMar>
        </w:tblPrEx>
        <w:trPr>
          <w:trHeight w:val="1282" w:hRule="atLeast"/>
        </w:trPr>
        <w:tc>
          <w:tcPr>
            <w:tcW w:w="9760" w:type="dxa"/>
            <w:gridSpan w:val="2"/>
            <w:tcBorders>
              <w:top w:val="nil"/>
              <w:left w:val="single" w:color="auto" w:sz="4" w:space="0"/>
              <w:bottom w:val="single" w:color="auto" w:sz="4" w:space="0"/>
              <w:right w:val="single" w:color="000000" w:sz="4" w:space="0"/>
            </w:tcBorders>
            <w:noWrap w:val="0"/>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长江</w:t>
            </w:r>
            <w:r>
              <w:rPr>
                <w:rFonts w:hint="eastAsia" w:ascii="宋体" w:hAnsi="宋体" w:eastAsia="宋体" w:cs="宋体"/>
                <w:color w:val="000000"/>
                <w:kern w:val="0"/>
                <w:sz w:val="24"/>
                <w:szCs w:val="24"/>
              </w:rPr>
              <w:t>证券股份有限公司</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网址：www.</w:t>
            </w:r>
            <w:r>
              <w:rPr>
                <w:rFonts w:hint="eastAsia" w:ascii="宋体" w:hAnsi="宋体" w:eastAsia="宋体" w:cs="宋体"/>
                <w:color w:val="000000"/>
                <w:kern w:val="0"/>
                <w:sz w:val="24"/>
                <w:szCs w:val="24"/>
                <w:lang w:val="en-US" w:eastAsia="zh-CN"/>
              </w:rPr>
              <w:t>95579</w:t>
            </w:r>
            <w:r>
              <w:rPr>
                <w:rFonts w:hint="eastAsia" w:ascii="宋体" w:hAnsi="宋体" w:eastAsia="宋体" w:cs="宋体"/>
                <w:color w:val="000000"/>
                <w:kern w:val="0"/>
                <w:sz w:val="24"/>
                <w:szCs w:val="24"/>
              </w:rPr>
              <w:t>.com</w:t>
            </w:r>
          </w:p>
          <w:p>
            <w:pPr>
              <w:widowControl/>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全国统一客服及投诉</w:t>
            </w:r>
            <w:r>
              <w:rPr>
                <w:rFonts w:hint="eastAsia" w:ascii="宋体" w:hAnsi="宋体" w:cs="宋体"/>
                <w:color w:val="000000"/>
                <w:kern w:val="0"/>
                <w:sz w:val="24"/>
                <w:szCs w:val="24"/>
                <w:lang w:eastAsia="zh-CN"/>
              </w:rPr>
              <w:t>热</w:t>
            </w:r>
            <w:r>
              <w:rPr>
                <w:rFonts w:hint="eastAsia" w:ascii="宋体" w:hAnsi="宋体" w:cs="宋体"/>
                <w:color w:val="000000"/>
                <w:kern w:val="0"/>
                <w:sz w:val="24"/>
                <w:szCs w:val="24"/>
                <w:lang w:val="en-US" w:eastAsia="zh-CN"/>
              </w:rPr>
              <w:t>线</w:t>
            </w:r>
            <w:r>
              <w:rPr>
                <w:rFonts w:hint="eastAsia" w:ascii="宋体" w:hAnsi="宋体" w:eastAsia="宋体" w:cs="宋体"/>
                <w:color w:val="000000"/>
                <w:kern w:val="0"/>
                <w:sz w:val="24"/>
                <w:szCs w:val="24"/>
              </w:rPr>
              <w:t>：955</w:t>
            </w:r>
            <w:r>
              <w:rPr>
                <w:rFonts w:hint="eastAsia" w:ascii="宋体" w:hAnsi="宋体" w:eastAsia="宋体" w:cs="宋体"/>
                <w:color w:val="000000"/>
                <w:kern w:val="0"/>
                <w:sz w:val="24"/>
                <w:szCs w:val="24"/>
                <w:lang w:val="en-US" w:eastAsia="zh-CN"/>
              </w:rPr>
              <w:t>79</w:t>
            </w:r>
            <w:r>
              <w:rPr>
                <w:rFonts w:hint="eastAsia" w:ascii="宋体" w:hAnsi="宋体" w:cs="宋体"/>
                <w:color w:val="000000"/>
                <w:kern w:val="0"/>
                <w:sz w:val="24"/>
                <w:szCs w:val="24"/>
                <w:lang w:val="en-US" w:eastAsia="zh-CN"/>
              </w:rPr>
              <w:t>或4008-888-999</w:t>
            </w:r>
          </w:p>
          <w:p>
            <w:pPr>
              <w:widowControl/>
              <w:jc w:val="lef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电子邮件：service@95579.com</w:t>
            </w:r>
          </w:p>
        </w:tc>
      </w:tr>
      <w:tr>
        <w:tblPrEx>
          <w:tblCellMar>
            <w:top w:w="0" w:type="dxa"/>
            <w:left w:w="108" w:type="dxa"/>
            <w:bottom w:w="0" w:type="dxa"/>
            <w:right w:w="108" w:type="dxa"/>
          </w:tblCellMar>
        </w:tblPrEx>
        <w:trPr>
          <w:trHeight w:val="1603" w:hRule="atLeast"/>
        </w:trPr>
        <w:tc>
          <w:tcPr>
            <w:tcW w:w="9760"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Times New Roman" w:hAnsi="Times New Roman" w:eastAsia="楷体" w:cs="Times New Roman"/>
                <w:b/>
                <w:bCs/>
                <w:color w:val="000000"/>
                <w:kern w:val="0"/>
                <w:sz w:val="24"/>
                <w:szCs w:val="24"/>
              </w:rPr>
            </w:pPr>
            <w:r>
              <w:rPr>
                <w:rFonts w:hint="eastAsia" w:ascii="宋体" w:hAnsi="宋体" w:eastAsia="宋体" w:cs="宋体"/>
                <w:b/>
                <w:bCs/>
                <w:color w:val="000000"/>
                <w:kern w:val="0"/>
                <w:sz w:val="24"/>
                <w:szCs w:val="24"/>
              </w:rPr>
              <w:t>声明:本概览提供本产品的重要数据，是产品销售文件的一部分,请勿仅凭本概览做出投资决定。客户在参与报价回购交易前，应认真阅读相关业务规则、《客户协议》及《风险揭示书》，如有需要及时向证券公司咨询，并做好风险评估与财务安排，确定自身有足够的风险承受能力，避免因参与报价回购交易而遭受难以承受的损失。</w:t>
            </w:r>
          </w:p>
        </w:tc>
      </w:tr>
    </w:tbl>
    <w:p>
      <w:pPr>
        <w:rPr>
          <w:rFonts w:hint="default"/>
          <w:lang w:val="en-US" w:eastAsia="zh-CN"/>
        </w:rPr>
      </w:pPr>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DDF63"/>
    <w:multiLevelType w:val="singleLevel"/>
    <w:tmpl w:val="D05DDF63"/>
    <w:lvl w:ilvl="0" w:tentative="0">
      <w:start w:val="1"/>
      <w:numFmt w:val="decimal"/>
      <w:suff w:val="nothing"/>
      <w:lvlText w:val="（%1）"/>
      <w:lvlJc w:val="left"/>
    </w:lvl>
  </w:abstractNum>
  <w:abstractNum w:abstractNumId="1">
    <w:nsid w:val="6CFEB44C"/>
    <w:multiLevelType w:val="singleLevel"/>
    <w:tmpl w:val="6CFEB44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3Y2M2YTA4MmFjYTQ0NTQ3ZGY0NTQyMmM0MTM4ODYifQ=="/>
  </w:docVars>
  <w:rsids>
    <w:rsidRoot w:val="6DCF36A4"/>
    <w:rsid w:val="08FA7E11"/>
    <w:rsid w:val="08FB5158"/>
    <w:rsid w:val="0C2B65C4"/>
    <w:rsid w:val="12665DDE"/>
    <w:rsid w:val="14526798"/>
    <w:rsid w:val="16D83A23"/>
    <w:rsid w:val="19E7282E"/>
    <w:rsid w:val="1BFE345C"/>
    <w:rsid w:val="1D3D1BDC"/>
    <w:rsid w:val="1DD93D6E"/>
    <w:rsid w:val="1E384CE9"/>
    <w:rsid w:val="2452597D"/>
    <w:rsid w:val="26217764"/>
    <w:rsid w:val="2AE5754B"/>
    <w:rsid w:val="32550893"/>
    <w:rsid w:val="348974A4"/>
    <w:rsid w:val="366F0FDE"/>
    <w:rsid w:val="36857029"/>
    <w:rsid w:val="3866486A"/>
    <w:rsid w:val="473C009B"/>
    <w:rsid w:val="4AA30B72"/>
    <w:rsid w:val="4B0E35C6"/>
    <w:rsid w:val="51E6321E"/>
    <w:rsid w:val="52004637"/>
    <w:rsid w:val="5F9F4389"/>
    <w:rsid w:val="605C197B"/>
    <w:rsid w:val="6DCF36A4"/>
    <w:rsid w:val="6FD531AA"/>
    <w:rsid w:val="73631F87"/>
    <w:rsid w:val="746E13C8"/>
    <w:rsid w:val="769136DA"/>
    <w:rsid w:val="769A18AE"/>
    <w:rsid w:val="78615D35"/>
    <w:rsid w:val="7B707CDF"/>
    <w:rsid w:val="7E1E1A0F"/>
    <w:rsid w:val="7EA53789"/>
    <w:rsid w:val="7EB76B42"/>
    <w:rsid w:val="7F1B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Calibri" w:hAnsi="Calibri" w:eastAsia="宋体" w:cs="Times New Roman"/>
      <w:kern w:val="2"/>
      <w:sz w:val="21"/>
      <w:szCs w:val="24"/>
      <w:lang w:val="en-US" w:eastAsia="zh-CN" w:bidi="ar-SA"/>
    </w:rPr>
  </w:style>
  <w:style w:type="paragraph" w:styleId="2">
    <w:name w:val="heading 4"/>
    <w:basedOn w:val="3"/>
    <w:next w:val="1"/>
    <w:qFormat/>
    <w:uiPriority w:val="0"/>
    <w:pPr>
      <w:keepNext/>
      <w:keepLines/>
      <w:ind w:left="0" w:firstLine="420"/>
      <w:outlineLvl w:val="3"/>
    </w:pPr>
    <w:rPr>
      <w:rFonts w:ascii="Arial" w:hAnsi="Arial"/>
      <w:bCs/>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left="1" w:firstLine="480" w:firstLineChars="200"/>
    </w:pPr>
    <w:rPr>
      <w:rFonts w:ascii="宋体" w:hAnsi="宋体"/>
      <w:sz w:val="24"/>
      <w:szCs w:val="20"/>
    </w:rPr>
  </w:style>
  <w:style w:type="paragraph" w:styleId="4">
    <w:name w:val="annotation text"/>
    <w:basedOn w:val="1"/>
    <w:qFormat/>
    <w:uiPriority w:val="0"/>
    <w:pPr>
      <w:jc w:val="left"/>
    </w:p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951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2022-07-08T04:55:00Z</dcterms:created>
  <dc:creator>尹淑娟</dc:creator>
  <cp:lastModifiedBy>尹淑娟</cp:lastModifiedBy>
  <dcterms:modified xsi:type="dcterms:W3CDTF">2023-11-08T02:54:18Z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079C17036AEA477489E7813DA199E4FF</vt:lpwstr>
  </property>
</Properties>
</file>